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B77A" w14:textId="0A8D5A1E" w:rsidR="00C61528" w:rsidRPr="00C61528" w:rsidRDefault="00E85344" w:rsidP="00C61528">
      <w:pPr>
        <w:tabs>
          <w:tab w:val="left" w:pos="1440"/>
        </w:tabs>
        <w:jc w:val="right"/>
        <w:rPr>
          <w:b/>
          <w:bCs/>
          <w:sz w:val="32"/>
          <w:szCs w:val="32"/>
        </w:rPr>
      </w:pPr>
      <w:r>
        <w:rPr>
          <w:b/>
          <w:bCs/>
          <w:sz w:val="32"/>
          <w:szCs w:val="32"/>
        </w:rPr>
        <w:t>Ending Tenancies</w:t>
      </w:r>
      <w:r w:rsidR="00840C76">
        <w:rPr>
          <w:b/>
          <w:bCs/>
          <w:sz w:val="32"/>
          <w:szCs w:val="32"/>
        </w:rPr>
        <w:t xml:space="preserve"> Policy</w:t>
      </w:r>
    </w:p>
    <w:p w14:paraId="4F9EB01E" w14:textId="77777777" w:rsidR="00C61528" w:rsidRDefault="00C61528"/>
    <w:tbl>
      <w:tblPr>
        <w:tblW w:w="9648" w:type="dxa"/>
        <w:tblLook w:val="01E0" w:firstRow="1" w:lastRow="1" w:firstColumn="1" w:lastColumn="1" w:noHBand="0" w:noVBand="0"/>
      </w:tblPr>
      <w:tblGrid>
        <w:gridCol w:w="3888"/>
        <w:gridCol w:w="1800"/>
        <w:gridCol w:w="3960"/>
      </w:tblGrid>
      <w:tr w:rsidR="00BD0F49" w:rsidRPr="006D1AD1" w14:paraId="10A2F49B" w14:textId="77777777" w:rsidTr="00C61528">
        <w:tc>
          <w:tcPr>
            <w:tcW w:w="3888" w:type="dxa"/>
            <w:vMerge w:val="restart"/>
          </w:tcPr>
          <w:p w14:paraId="15D73EDA" w14:textId="13044DBD" w:rsidR="00BD0F49" w:rsidRDefault="00853164" w:rsidP="00961575">
            <w:pPr>
              <w:pStyle w:val="Normal2"/>
              <w:rPr>
                <w:rFonts w:eastAsia="Arial Unicode MS"/>
                <w:b/>
                <w:szCs w:val="22"/>
              </w:rPr>
            </w:pPr>
            <w:r>
              <w:rPr>
                <w:rFonts w:eastAsia="Arial Unicode MS"/>
                <w:b/>
                <w:noProof/>
                <w:szCs w:val="22"/>
              </w:rPr>
              <w:drawing>
                <wp:inline distT="0" distB="0" distL="0" distR="0" wp14:anchorId="0F68546F" wp14:editId="749F015D">
                  <wp:extent cx="2219325" cy="762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9325" cy="762000"/>
                          </a:xfrm>
                          <a:prstGeom prst="rect">
                            <a:avLst/>
                          </a:prstGeom>
                          <a:noFill/>
                        </pic:spPr>
                      </pic:pic>
                    </a:graphicData>
                  </a:graphic>
                </wp:inline>
              </w:drawing>
            </w:r>
          </w:p>
        </w:tc>
        <w:tc>
          <w:tcPr>
            <w:tcW w:w="1800" w:type="dxa"/>
          </w:tcPr>
          <w:p w14:paraId="7D92DD66" w14:textId="77777777" w:rsidR="00BD0F49" w:rsidRPr="006D1AD1" w:rsidRDefault="00BD0F49" w:rsidP="00C61528">
            <w:pPr>
              <w:pStyle w:val="Normal2"/>
              <w:spacing w:before="0" w:after="0"/>
              <w:rPr>
                <w:rFonts w:eastAsia="Arial Unicode MS"/>
                <w:b/>
                <w:szCs w:val="22"/>
              </w:rPr>
            </w:pPr>
            <w:r>
              <w:rPr>
                <w:rFonts w:eastAsia="Arial Unicode MS"/>
                <w:b/>
                <w:szCs w:val="22"/>
              </w:rPr>
              <w:t>Owner:</w:t>
            </w:r>
          </w:p>
        </w:tc>
        <w:tc>
          <w:tcPr>
            <w:tcW w:w="3960" w:type="dxa"/>
          </w:tcPr>
          <w:p w14:paraId="064498B4" w14:textId="407B6E2B" w:rsidR="00BD0F49" w:rsidRPr="006D1AD1" w:rsidRDefault="00853164" w:rsidP="00C61528">
            <w:pPr>
              <w:pStyle w:val="Normal2"/>
              <w:spacing w:before="0" w:after="0"/>
              <w:rPr>
                <w:rFonts w:eastAsia="Arial Unicode MS"/>
                <w:szCs w:val="22"/>
              </w:rPr>
            </w:pPr>
            <w:r>
              <w:rPr>
                <w:rFonts w:eastAsia="Arial Unicode MS"/>
                <w:szCs w:val="22"/>
              </w:rPr>
              <w:t>Tamara Leishman</w:t>
            </w:r>
          </w:p>
        </w:tc>
      </w:tr>
      <w:tr w:rsidR="00BD0F49" w:rsidRPr="006D1AD1" w14:paraId="0A17256F" w14:textId="77777777" w:rsidTr="00C61528">
        <w:tc>
          <w:tcPr>
            <w:tcW w:w="3888" w:type="dxa"/>
            <w:vMerge/>
          </w:tcPr>
          <w:p w14:paraId="568E8F29" w14:textId="77777777" w:rsidR="00BD0F49" w:rsidRDefault="00BD0F49" w:rsidP="00961575">
            <w:pPr>
              <w:pStyle w:val="Normal2"/>
              <w:rPr>
                <w:rFonts w:eastAsia="Arial Unicode MS"/>
                <w:b/>
                <w:szCs w:val="22"/>
              </w:rPr>
            </w:pPr>
          </w:p>
        </w:tc>
        <w:tc>
          <w:tcPr>
            <w:tcW w:w="1800" w:type="dxa"/>
          </w:tcPr>
          <w:p w14:paraId="36170238" w14:textId="77777777" w:rsidR="00BD0F49" w:rsidRPr="006D1AD1" w:rsidRDefault="00BD0F49" w:rsidP="00C61528">
            <w:pPr>
              <w:pStyle w:val="Normal2"/>
              <w:spacing w:before="0" w:after="0"/>
              <w:rPr>
                <w:rFonts w:eastAsia="Arial Unicode MS"/>
                <w:b/>
                <w:szCs w:val="22"/>
              </w:rPr>
            </w:pPr>
            <w:r>
              <w:rPr>
                <w:rFonts w:eastAsia="Arial Unicode MS"/>
                <w:b/>
                <w:szCs w:val="22"/>
              </w:rPr>
              <w:t>Version</w:t>
            </w:r>
            <w:r w:rsidRPr="006D1AD1">
              <w:rPr>
                <w:rFonts w:eastAsia="Arial Unicode MS"/>
                <w:b/>
                <w:szCs w:val="22"/>
              </w:rPr>
              <w:t>:</w:t>
            </w:r>
          </w:p>
        </w:tc>
        <w:tc>
          <w:tcPr>
            <w:tcW w:w="3960" w:type="dxa"/>
          </w:tcPr>
          <w:p w14:paraId="2BBCEE85" w14:textId="77777777" w:rsidR="00BD0F49" w:rsidRDefault="00236798" w:rsidP="00C61528">
            <w:pPr>
              <w:pStyle w:val="Normal2"/>
              <w:spacing w:before="0" w:after="0"/>
              <w:rPr>
                <w:rFonts w:eastAsia="Arial Unicode MS"/>
                <w:szCs w:val="22"/>
              </w:rPr>
            </w:pPr>
            <w:r>
              <w:rPr>
                <w:rFonts w:eastAsia="Arial Unicode MS"/>
                <w:szCs w:val="22"/>
              </w:rPr>
              <w:t>2</w:t>
            </w:r>
          </w:p>
        </w:tc>
      </w:tr>
      <w:tr w:rsidR="00BD0F49" w:rsidRPr="006D1AD1" w14:paraId="44FA85BC" w14:textId="77777777" w:rsidTr="00C61528">
        <w:tc>
          <w:tcPr>
            <w:tcW w:w="3888" w:type="dxa"/>
            <w:vMerge/>
          </w:tcPr>
          <w:p w14:paraId="3503C0E2" w14:textId="77777777" w:rsidR="00BD0F49" w:rsidRDefault="00BD0F49" w:rsidP="00961575">
            <w:pPr>
              <w:pStyle w:val="Normal2"/>
              <w:rPr>
                <w:rFonts w:eastAsia="Arial Unicode MS"/>
                <w:b/>
                <w:szCs w:val="22"/>
              </w:rPr>
            </w:pPr>
          </w:p>
        </w:tc>
        <w:tc>
          <w:tcPr>
            <w:tcW w:w="1800" w:type="dxa"/>
          </w:tcPr>
          <w:p w14:paraId="6C0B625C" w14:textId="77777777" w:rsidR="00BD0F49" w:rsidRPr="006D1AD1" w:rsidRDefault="00BD0F49" w:rsidP="00C61528">
            <w:pPr>
              <w:pStyle w:val="Normal2"/>
              <w:spacing w:before="0" w:after="0"/>
              <w:rPr>
                <w:rFonts w:eastAsia="Arial Unicode MS"/>
                <w:b/>
                <w:szCs w:val="22"/>
              </w:rPr>
            </w:pPr>
            <w:r>
              <w:rPr>
                <w:rFonts w:eastAsia="Arial Unicode MS"/>
                <w:b/>
                <w:szCs w:val="22"/>
              </w:rPr>
              <w:t>Endorsed by</w:t>
            </w:r>
            <w:r w:rsidRPr="006D1AD1">
              <w:rPr>
                <w:rFonts w:eastAsia="Arial Unicode MS"/>
                <w:b/>
                <w:szCs w:val="22"/>
              </w:rPr>
              <w:t>:</w:t>
            </w:r>
          </w:p>
        </w:tc>
        <w:tc>
          <w:tcPr>
            <w:tcW w:w="3960" w:type="dxa"/>
          </w:tcPr>
          <w:p w14:paraId="0BC94F79" w14:textId="2DB81127" w:rsidR="00BD0F49" w:rsidRPr="006D1AD1" w:rsidRDefault="00853164" w:rsidP="00C61528">
            <w:pPr>
              <w:pStyle w:val="Normal2"/>
              <w:spacing w:before="0" w:after="0"/>
              <w:rPr>
                <w:rFonts w:eastAsia="Arial Unicode MS"/>
                <w:szCs w:val="22"/>
              </w:rPr>
            </w:pPr>
            <w:r>
              <w:rPr>
                <w:rFonts w:eastAsia="Arial Unicode MS"/>
                <w:szCs w:val="22"/>
              </w:rPr>
              <w:t>Kate Ogilvie</w:t>
            </w:r>
          </w:p>
        </w:tc>
      </w:tr>
      <w:tr w:rsidR="00BD0F49" w:rsidRPr="006D1AD1" w14:paraId="7C841108" w14:textId="77777777" w:rsidTr="00C61528">
        <w:tc>
          <w:tcPr>
            <w:tcW w:w="3888" w:type="dxa"/>
            <w:vMerge/>
          </w:tcPr>
          <w:p w14:paraId="59E960A7" w14:textId="77777777" w:rsidR="00BD0F49" w:rsidRDefault="00BD0F49" w:rsidP="008D6B2C">
            <w:pPr>
              <w:pStyle w:val="Normal2"/>
              <w:rPr>
                <w:rFonts w:eastAsia="Arial Unicode MS"/>
                <w:b/>
                <w:szCs w:val="22"/>
              </w:rPr>
            </w:pPr>
          </w:p>
        </w:tc>
        <w:tc>
          <w:tcPr>
            <w:tcW w:w="1800" w:type="dxa"/>
          </w:tcPr>
          <w:p w14:paraId="692DBAF6" w14:textId="77777777" w:rsidR="00BD0F49" w:rsidRPr="006D1AD1" w:rsidRDefault="00BD0F49" w:rsidP="00C61528">
            <w:pPr>
              <w:pStyle w:val="Normal2"/>
              <w:spacing w:before="0" w:after="0"/>
              <w:rPr>
                <w:rFonts w:eastAsia="Arial Unicode MS"/>
                <w:b/>
                <w:szCs w:val="22"/>
              </w:rPr>
            </w:pPr>
            <w:r>
              <w:rPr>
                <w:rFonts w:eastAsia="Arial Unicode MS"/>
                <w:b/>
                <w:szCs w:val="22"/>
              </w:rPr>
              <w:t>Issue date</w:t>
            </w:r>
            <w:r w:rsidRPr="006D1AD1">
              <w:rPr>
                <w:rFonts w:eastAsia="Arial Unicode MS"/>
                <w:b/>
                <w:szCs w:val="22"/>
              </w:rPr>
              <w:t>:</w:t>
            </w:r>
          </w:p>
        </w:tc>
        <w:tc>
          <w:tcPr>
            <w:tcW w:w="3960" w:type="dxa"/>
          </w:tcPr>
          <w:p w14:paraId="1A6A5679" w14:textId="7565E4F6" w:rsidR="00BD0F49" w:rsidRPr="006D1AD1" w:rsidRDefault="00D25C9F" w:rsidP="00C61528">
            <w:pPr>
              <w:pStyle w:val="Normal2"/>
              <w:spacing w:before="0" w:after="0"/>
              <w:rPr>
                <w:rFonts w:eastAsia="Arial Unicode MS"/>
                <w:szCs w:val="22"/>
              </w:rPr>
            </w:pPr>
            <w:r>
              <w:rPr>
                <w:rFonts w:eastAsia="Arial Unicode MS"/>
                <w:szCs w:val="22"/>
              </w:rPr>
              <w:t>29</w:t>
            </w:r>
            <w:r w:rsidR="00BF745D">
              <w:rPr>
                <w:rFonts w:eastAsia="Arial Unicode MS"/>
                <w:szCs w:val="22"/>
              </w:rPr>
              <w:t xml:space="preserve"> July 2025</w:t>
            </w:r>
          </w:p>
        </w:tc>
      </w:tr>
      <w:tr w:rsidR="00BD0F49" w:rsidRPr="006D1AD1" w14:paraId="01CE9D3E" w14:textId="77777777" w:rsidTr="00C61528">
        <w:tc>
          <w:tcPr>
            <w:tcW w:w="3888" w:type="dxa"/>
            <w:vMerge/>
          </w:tcPr>
          <w:p w14:paraId="718E5F22" w14:textId="77777777" w:rsidR="00BD0F49" w:rsidRDefault="00BD0F49" w:rsidP="00961575">
            <w:pPr>
              <w:pStyle w:val="Normal2"/>
              <w:rPr>
                <w:rFonts w:eastAsia="Arial Unicode MS"/>
                <w:b/>
                <w:szCs w:val="22"/>
              </w:rPr>
            </w:pPr>
          </w:p>
        </w:tc>
        <w:tc>
          <w:tcPr>
            <w:tcW w:w="1800" w:type="dxa"/>
          </w:tcPr>
          <w:p w14:paraId="7DE485AC" w14:textId="77777777" w:rsidR="00BD0F49" w:rsidRPr="006D1AD1" w:rsidRDefault="00BD0F49" w:rsidP="00C61528">
            <w:pPr>
              <w:pStyle w:val="Normal2"/>
              <w:spacing w:before="0" w:after="0"/>
              <w:rPr>
                <w:rFonts w:eastAsia="Arial Unicode MS"/>
                <w:b/>
                <w:szCs w:val="22"/>
              </w:rPr>
            </w:pPr>
            <w:r>
              <w:rPr>
                <w:rFonts w:eastAsia="Arial Unicode MS"/>
                <w:b/>
                <w:szCs w:val="22"/>
              </w:rPr>
              <w:t>Review d</w:t>
            </w:r>
            <w:r w:rsidRPr="006D1AD1">
              <w:rPr>
                <w:rFonts w:eastAsia="Arial Unicode MS"/>
                <w:b/>
                <w:szCs w:val="22"/>
              </w:rPr>
              <w:t>ate:</w:t>
            </w:r>
          </w:p>
        </w:tc>
        <w:tc>
          <w:tcPr>
            <w:tcW w:w="3960" w:type="dxa"/>
          </w:tcPr>
          <w:p w14:paraId="42E90E19" w14:textId="64717A29" w:rsidR="00BD0F49" w:rsidRPr="006D1AD1" w:rsidRDefault="00D25C9F" w:rsidP="00C61528">
            <w:pPr>
              <w:pStyle w:val="Normal2"/>
              <w:spacing w:before="0" w:after="0"/>
              <w:rPr>
                <w:rFonts w:eastAsia="Arial Unicode MS"/>
                <w:szCs w:val="22"/>
              </w:rPr>
            </w:pPr>
            <w:r>
              <w:rPr>
                <w:rFonts w:eastAsia="Arial Unicode MS"/>
                <w:szCs w:val="22"/>
              </w:rPr>
              <w:t>29</w:t>
            </w:r>
            <w:r w:rsidR="00BF745D">
              <w:rPr>
                <w:rFonts w:eastAsia="Arial Unicode MS"/>
                <w:szCs w:val="22"/>
              </w:rPr>
              <w:t xml:space="preserve"> July 2027</w:t>
            </w:r>
          </w:p>
        </w:tc>
      </w:tr>
    </w:tbl>
    <w:p w14:paraId="6E7303ED" w14:textId="77777777" w:rsidR="00B355C7" w:rsidRDefault="00B355C7" w:rsidP="00236798">
      <w:pPr>
        <w:pStyle w:val="Normal2"/>
        <w:rPr>
          <w:lang w:val="en-US"/>
        </w:rPr>
      </w:pPr>
    </w:p>
    <w:p w14:paraId="4D6A81FA" w14:textId="77777777" w:rsidR="00E85344" w:rsidRPr="00265731" w:rsidRDefault="00E85344" w:rsidP="00E85344">
      <w:pPr>
        <w:pStyle w:val="Heading1"/>
      </w:pPr>
      <w:bookmarkStart w:id="0" w:name="_Toc78899131"/>
      <w:r w:rsidRPr="00265731">
        <w:t>P</w:t>
      </w:r>
      <w:r>
        <w:t>urpose</w:t>
      </w:r>
      <w:bookmarkEnd w:id="0"/>
    </w:p>
    <w:p w14:paraId="5252F3E2" w14:textId="49FDD068" w:rsidR="00253678" w:rsidRDefault="00A064FF" w:rsidP="00E85344">
      <w:pPr>
        <w:pStyle w:val="Normal2"/>
      </w:pPr>
      <w:bookmarkStart w:id="1" w:name="_Toc391906727"/>
      <w:r>
        <w:t>This policy sets out the principles and procedures that guide Women’s Housing Ltd (WHL) when a tenancy is ending</w:t>
      </w:r>
      <w:r w:rsidR="00253678">
        <w:t xml:space="preserve"> either by consent</w:t>
      </w:r>
      <w:r w:rsidR="00293170">
        <w:t xml:space="preserve"> or</w:t>
      </w:r>
      <w:r w:rsidR="00253678">
        <w:t xml:space="preserve"> lawful termination. </w:t>
      </w:r>
    </w:p>
    <w:p w14:paraId="22BC8401" w14:textId="54080274" w:rsidR="00E85344" w:rsidRDefault="00A064FF" w:rsidP="00E85344">
      <w:pPr>
        <w:pStyle w:val="Normal2"/>
      </w:pPr>
      <w:r>
        <w:t xml:space="preserve"> </w:t>
      </w:r>
    </w:p>
    <w:p w14:paraId="3520E717" w14:textId="77777777" w:rsidR="00E85344" w:rsidRPr="00265731" w:rsidRDefault="00E85344" w:rsidP="00E85344">
      <w:pPr>
        <w:pStyle w:val="Heading1"/>
        <w:ind w:left="0" w:firstLine="0"/>
      </w:pPr>
      <w:bookmarkStart w:id="2" w:name="_Toc78899132"/>
      <w:r w:rsidRPr="00265731">
        <w:t>Statement of Commitment</w:t>
      </w:r>
      <w:bookmarkEnd w:id="2"/>
    </w:p>
    <w:p w14:paraId="4A4E3732" w14:textId="793B35AA" w:rsidR="00E85344" w:rsidRDefault="00E85344" w:rsidP="00E85344">
      <w:pPr>
        <w:pStyle w:val="Normal2"/>
      </w:pPr>
      <w:r w:rsidRPr="0019684D">
        <w:t>Women’s Housing Ltd (WHL) is committed to</w:t>
      </w:r>
      <w:r>
        <w:t xml:space="preserve"> sustaining the viability of its long-term </w:t>
      </w:r>
      <w:r w:rsidR="00253678">
        <w:t>tenancies</w:t>
      </w:r>
      <w:r>
        <w:t xml:space="preserve"> </w:t>
      </w:r>
      <w:r w:rsidR="00253678">
        <w:t xml:space="preserve">where possible </w:t>
      </w:r>
      <w:r>
        <w:t xml:space="preserve">through positive renter support and early intervention. </w:t>
      </w:r>
    </w:p>
    <w:p w14:paraId="35A84AD6" w14:textId="77777777" w:rsidR="00E85344" w:rsidRDefault="00E85344" w:rsidP="00E85344">
      <w:pPr>
        <w:pStyle w:val="Normal2"/>
      </w:pPr>
      <w:r>
        <w:t xml:space="preserve">WHL acknowledges the personal and financial vulnerability of many of our renters and recognises that these vulnerabilities can result in tenancies being placed at risk. </w:t>
      </w:r>
    </w:p>
    <w:p w14:paraId="144BCD22" w14:textId="623B4CD4" w:rsidR="00E85344" w:rsidRDefault="00E85344" w:rsidP="00E85344">
      <w:pPr>
        <w:pStyle w:val="Normal2"/>
      </w:pPr>
      <w:r>
        <w:t>WHL is committed to ensuring</w:t>
      </w:r>
      <w:r w:rsidR="00253678">
        <w:t xml:space="preserve"> </w:t>
      </w:r>
      <w:r>
        <w:t xml:space="preserve">that all renters are </w:t>
      </w:r>
      <w:r w:rsidR="00253678">
        <w:t xml:space="preserve">afforded </w:t>
      </w:r>
      <w:r>
        <w:t>every opportunity to sustain their</w:t>
      </w:r>
      <w:r w:rsidR="00253678">
        <w:t xml:space="preserve"> tenancies</w:t>
      </w:r>
      <w:r w:rsidR="004910DB">
        <w:t xml:space="preserve">. </w:t>
      </w:r>
    </w:p>
    <w:p w14:paraId="1EECEC1C" w14:textId="672356EB" w:rsidR="004910DB" w:rsidRDefault="004910DB" w:rsidP="00E85344">
      <w:pPr>
        <w:pStyle w:val="Normal2"/>
      </w:pPr>
      <w:r>
        <w:t>WHL applies the provisions of the Residential Tenancies Act 1997 (RTA) fairly and considers human rights, cultural safety and trauma-informed practice when making decisions that impact tenancies.</w:t>
      </w:r>
    </w:p>
    <w:p w14:paraId="71A47C84" w14:textId="77777777" w:rsidR="00E85344" w:rsidRDefault="00E85344" w:rsidP="00E85344">
      <w:pPr>
        <w:pStyle w:val="Normal2"/>
      </w:pPr>
    </w:p>
    <w:p w14:paraId="4E49C64B" w14:textId="77777777" w:rsidR="00E85344" w:rsidRPr="00265731" w:rsidRDefault="00E85344" w:rsidP="00E85344">
      <w:pPr>
        <w:pStyle w:val="Heading1"/>
      </w:pPr>
      <w:bookmarkStart w:id="3" w:name="_Toc78899133"/>
      <w:r w:rsidRPr="00265731">
        <w:t>Scope</w:t>
      </w:r>
      <w:bookmarkEnd w:id="1"/>
      <w:r>
        <w:t xml:space="preserve"> of Policy</w:t>
      </w:r>
      <w:bookmarkEnd w:id="3"/>
    </w:p>
    <w:p w14:paraId="7F490C46" w14:textId="60491E58" w:rsidR="00E85344" w:rsidRDefault="00E85344" w:rsidP="00E85344">
      <w:pPr>
        <w:pStyle w:val="Normal2"/>
        <w:rPr>
          <w:i/>
        </w:rPr>
      </w:pPr>
      <w:r>
        <w:t xml:space="preserve">This policy </w:t>
      </w:r>
      <w:r w:rsidRPr="00EA6AE1">
        <w:t xml:space="preserve">specifically does not cover the termination of rental agreements because of rental arrears. </w:t>
      </w:r>
      <w:r>
        <w:t xml:space="preserve">The policy and procedures for arrears recovery is detailed in the </w:t>
      </w:r>
      <w:r>
        <w:rPr>
          <w:i/>
        </w:rPr>
        <w:t>Arrears Policy.</w:t>
      </w:r>
    </w:p>
    <w:p w14:paraId="3068E240" w14:textId="77777777" w:rsidR="00E85344" w:rsidRPr="00D60D78" w:rsidRDefault="00E85344" w:rsidP="00E85344">
      <w:pPr>
        <w:pStyle w:val="Normal2"/>
        <w:rPr>
          <w:i/>
        </w:rPr>
      </w:pPr>
      <w:r>
        <w:t xml:space="preserve">Similarly, this policy does not encompass the ending of tenancies in the THM program. </w:t>
      </w:r>
    </w:p>
    <w:p w14:paraId="42BC7ECD" w14:textId="2F5C4BDC" w:rsidR="00E85344" w:rsidRPr="00732963" w:rsidRDefault="00E85344" w:rsidP="00E85344">
      <w:pPr>
        <w:pStyle w:val="Normal2"/>
      </w:pPr>
      <w:r>
        <w:t xml:space="preserve">This policy </w:t>
      </w:r>
      <w:r w:rsidR="00BE58E5">
        <w:t>covers</w:t>
      </w:r>
      <w:r>
        <w:t xml:space="preserve"> all other circumstances in Community Housing and Rooming House programs</w:t>
      </w:r>
      <w:r w:rsidR="00BE58E5">
        <w:t xml:space="preserve"> </w:t>
      </w:r>
      <w:r>
        <w:t xml:space="preserve">where ending a rental agreement </w:t>
      </w:r>
      <w:r w:rsidR="00BE58E5">
        <w:t xml:space="preserve">is being ended. </w:t>
      </w:r>
    </w:p>
    <w:p w14:paraId="04A1D84B" w14:textId="77777777" w:rsidR="00E85344" w:rsidRDefault="00E85344" w:rsidP="00E85344">
      <w:pPr>
        <w:pStyle w:val="Normal2"/>
      </w:pPr>
      <w:bookmarkStart w:id="4" w:name="_Toc370821081"/>
      <w:bookmarkStart w:id="5" w:name="_Toc370822379"/>
      <w:bookmarkStart w:id="6" w:name="_Toc370822588"/>
      <w:bookmarkStart w:id="7" w:name="_Toc431398134"/>
      <w:bookmarkStart w:id="8" w:name="_Toc464221603"/>
      <w:bookmarkStart w:id="9" w:name="_Toc464221780"/>
    </w:p>
    <w:p w14:paraId="4FF370BD" w14:textId="3A9C2717" w:rsidR="00E85344" w:rsidRDefault="004E47DB" w:rsidP="00E85344">
      <w:pPr>
        <w:pStyle w:val="Heading1"/>
      </w:pPr>
      <w:r>
        <w:t>Grounds for ending a tenancy</w:t>
      </w:r>
    </w:p>
    <w:p w14:paraId="4938E50A" w14:textId="77777777" w:rsidR="00E85344" w:rsidRPr="00965505" w:rsidRDefault="00E85344" w:rsidP="00E85344">
      <w:pPr>
        <w:pStyle w:val="Normal2"/>
        <w:spacing w:before="0"/>
        <w:rPr>
          <w:b/>
          <w:bCs/>
        </w:rPr>
      </w:pPr>
      <w:r w:rsidRPr="00965505">
        <w:rPr>
          <w:b/>
          <w:bCs/>
        </w:rPr>
        <w:t xml:space="preserve">Appendix 1 </w:t>
      </w:r>
      <w:r w:rsidRPr="00650AF6">
        <w:t>gives a summary of reasons for a Notice to Vacate, and the minimum amount of time required depending on the cause.</w:t>
      </w:r>
    </w:p>
    <w:p w14:paraId="26B79D6E" w14:textId="77777777" w:rsidR="00E85344" w:rsidRPr="000F54BB" w:rsidRDefault="00E85344" w:rsidP="00E85344">
      <w:pPr>
        <w:pStyle w:val="Normal2"/>
        <w:spacing w:before="0"/>
      </w:pPr>
    </w:p>
    <w:p w14:paraId="33B8522C" w14:textId="77777777" w:rsidR="004D0835" w:rsidRDefault="004D0835" w:rsidP="004D0835">
      <w:pPr>
        <w:pStyle w:val="Heading2"/>
      </w:pPr>
      <w:proofErr w:type="gramStart"/>
      <w:r>
        <w:t>Mutual agreement</w:t>
      </w:r>
      <w:proofErr w:type="gramEnd"/>
    </w:p>
    <w:p w14:paraId="7E7398C2" w14:textId="79B4E6E0" w:rsidR="004D0835" w:rsidRDefault="004D0835" w:rsidP="001473C3">
      <w:pPr>
        <w:pStyle w:val="Normal2"/>
      </w:pPr>
      <w:r>
        <w:t xml:space="preserve">In some circumstances, tenancies may end by mutual agreement between the renter and WHL. This may occur where the renter chooses to leave voluntarily or where both parties agree that ending the tenancy is the most appropriate option. </w:t>
      </w:r>
    </w:p>
    <w:p w14:paraId="767D0DF5" w14:textId="77777777" w:rsidR="004D0835" w:rsidRDefault="004D0835" w:rsidP="004D0835"/>
    <w:p w14:paraId="69BD8013" w14:textId="5AD026F6" w:rsidR="00DA476A" w:rsidRDefault="00DA476A" w:rsidP="00E85344">
      <w:pPr>
        <w:pStyle w:val="Heading2"/>
      </w:pPr>
      <w:r>
        <w:lastRenderedPageBreak/>
        <w:t>Renter-initiated termination</w:t>
      </w:r>
    </w:p>
    <w:p w14:paraId="4599C474" w14:textId="049CAB80" w:rsidR="00DA476A" w:rsidRPr="00DA476A" w:rsidRDefault="00DA476A" w:rsidP="001473C3">
      <w:pPr>
        <w:pStyle w:val="Normal2"/>
      </w:pPr>
      <w:r>
        <w:t>Renters have the right to end their tenancy by providing notice in accordance with the Residential Tenancies Act 1997 (RTA)</w:t>
      </w:r>
      <w:r w:rsidR="00676779">
        <w:t>. Common reasons include relocating, personal safety</w:t>
      </w:r>
      <w:r w:rsidR="00F96AFE">
        <w:t xml:space="preserve">, changes in health </w:t>
      </w:r>
      <w:r w:rsidR="00E4445C">
        <w:t xml:space="preserve">or other personal circumstances. </w:t>
      </w:r>
      <w:r w:rsidR="004D0835">
        <w:t>Renters must provide 28 days’ notice prior to ending a tenancy by mutual agreement. In some circumstances, renters may be entitled to provide 14 days’ notice, such as if they have been offered alternative social housing.</w:t>
      </w:r>
      <w:r w:rsidR="00B00A19">
        <w:t xml:space="preserve"> Renters will continue to be charged rent up until the keys are returned to WHL. </w:t>
      </w:r>
    </w:p>
    <w:p w14:paraId="5632CD40" w14:textId="77777777" w:rsidR="00DA476A" w:rsidRDefault="00DA476A" w:rsidP="004D0835">
      <w:pPr>
        <w:pStyle w:val="Heading2"/>
        <w:numPr>
          <w:ilvl w:val="0"/>
          <w:numId w:val="0"/>
        </w:numPr>
      </w:pPr>
    </w:p>
    <w:p w14:paraId="51E4B6BC" w14:textId="7FF7883F" w:rsidR="004E47DB" w:rsidRDefault="0073126C" w:rsidP="00E7440E">
      <w:pPr>
        <w:pStyle w:val="Heading2"/>
      </w:pPr>
      <w:r>
        <w:t>WHL initiated termination</w:t>
      </w:r>
    </w:p>
    <w:p w14:paraId="10F695D2" w14:textId="77777777" w:rsidR="00DA08D5" w:rsidRDefault="004D0835" w:rsidP="006F3FB9">
      <w:pPr>
        <w:pStyle w:val="Normal2"/>
      </w:pPr>
      <w:r>
        <w:t>WHL may initiate termination of a tenancy in accordance with the RTA. This may include</w:t>
      </w:r>
      <w:r w:rsidR="00DA08D5">
        <w:t>:</w:t>
      </w:r>
    </w:p>
    <w:p w14:paraId="67658C61" w14:textId="3EDEE092" w:rsidR="00DA08D5" w:rsidRDefault="0077509B" w:rsidP="0077509B">
      <w:pPr>
        <w:pStyle w:val="Normal2"/>
        <w:numPr>
          <w:ilvl w:val="0"/>
          <w:numId w:val="39"/>
        </w:numPr>
        <w:spacing w:before="0" w:after="0"/>
      </w:pPr>
      <w:r>
        <w:t>S</w:t>
      </w:r>
      <w:r w:rsidR="004D0835">
        <w:t>erious or repeated breaches of the rental agreement or RT</w:t>
      </w:r>
      <w:r w:rsidR="00DA08D5">
        <w:t>A</w:t>
      </w:r>
      <w:r w:rsidR="004D0835">
        <w:t xml:space="preserve"> including</w:t>
      </w:r>
    </w:p>
    <w:p w14:paraId="0240B9FC" w14:textId="55442D9F" w:rsidR="00DA08D5" w:rsidRDefault="00DF7BF9" w:rsidP="0077509B">
      <w:pPr>
        <w:pStyle w:val="Normal2"/>
        <w:numPr>
          <w:ilvl w:val="1"/>
          <w:numId w:val="39"/>
        </w:numPr>
        <w:spacing w:before="0" w:after="0"/>
      </w:pPr>
      <w:r>
        <w:t>N</w:t>
      </w:r>
      <w:r w:rsidR="006F3FB9">
        <w:t>on-payment</w:t>
      </w:r>
      <w:r w:rsidR="004D0835">
        <w:t xml:space="preserve"> of rent</w:t>
      </w:r>
    </w:p>
    <w:p w14:paraId="19399873" w14:textId="432FFBC4" w:rsidR="00DA08D5" w:rsidRDefault="00DF7BF9" w:rsidP="0077509B">
      <w:pPr>
        <w:pStyle w:val="Normal2"/>
        <w:numPr>
          <w:ilvl w:val="1"/>
          <w:numId w:val="39"/>
        </w:numPr>
        <w:spacing w:before="0" w:after="0"/>
      </w:pPr>
      <w:r>
        <w:t>D</w:t>
      </w:r>
      <w:r w:rsidR="004D0835">
        <w:t>amage to the property</w:t>
      </w:r>
    </w:p>
    <w:p w14:paraId="50D5C738" w14:textId="2E6EEFD6" w:rsidR="006F3FB9" w:rsidRDefault="00DF7BF9" w:rsidP="0077509B">
      <w:pPr>
        <w:pStyle w:val="Normal2"/>
        <w:numPr>
          <w:ilvl w:val="1"/>
          <w:numId w:val="39"/>
        </w:numPr>
        <w:spacing w:before="0" w:after="0"/>
      </w:pPr>
      <w:r>
        <w:t>S</w:t>
      </w:r>
      <w:r w:rsidR="004D0835">
        <w:t xml:space="preserve">erious nuisance </w:t>
      </w:r>
      <w:r w:rsidR="00C1765A">
        <w:t>or illegal behaviour</w:t>
      </w:r>
    </w:p>
    <w:p w14:paraId="3A36E3FF" w14:textId="1DD3849D" w:rsidR="0077509B" w:rsidRDefault="00DA08D5" w:rsidP="0077509B">
      <w:pPr>
        <w:pStyle w:val="Normal2"/>
        <w:numPr>
          <w:ilvl w:val="1"/>
          <w:numId w:val="39"/>
        </w:numPr>
        <w:spacing w:before="0" w:after="0"/>
      </w:pPr>
      <w:r>
        <w:t>Violence, threatenin</w:t>
      </w:r>
      <w:r w:rsidR="0077509B">
        <w:t>g behaviour or danger</w:t>
      </w:r>
    </w:p>
    <w:p w14:paraId="6ED5E6CE" w14:textId="1336B08E" w:rsidR="00DF7BF9" w:rsidRDefault="00DF7BF9" w:rsidP="0077509B">
      <w:pPr>
        <w:pStyle w:val="Normal2"/>
        <w:numPr>
          <w:ilvl w:val="1"/>
          <w:numId w:val="39"/>
        </w:numPr>
        <w:spacing w:before="0" w:after="0"/>
      </w:pPr>
      <w:r>
        <w:t>Subletting or assignment without consent</w:t>
      </w:r>
    </w:p>
    <w:p w14:paraId="6B461CE7" w14:textId="365C8282" w:rsidR="0077509B" w:rsidRDefault="00F66ED9" w:rsidP="00DF7BF9">
      <w:pPr>
        <w:pStyle w:val="Normal2"/>
        <w:numPr>
          <w:ilvl w:val="0"/>
          <w:numId w:val="39"/>
        </w:numPr>
        <w:spacing w:after="0"/>
      </w:pPr>
      <w:r>
        <w:t>Situations not attributable to the renter</w:t>
      </w:r>
    </w:p>
    <w:p w14:paraId="36E96050" w14:textId="39762862" w:rsidR="00F66ED9" w:rsidRDefault="00F66ED9" w:rsidP="00DF7BF9">
      <w:pPr>
        <w:pStyle w:val="Normal2"/>
        <w:numPr>
          <w:ilvl w:val="1"/>
          <w:numId w:val="39"/>
        </w:numPr>
        <w:spacing w:before="0" w:after="0"/>
      </w:pPr>
      <w:r>
        <w:t>Premises is unfit for human habitation</w:t>
      </w:r>
    </w:p>
    <w:p w14:paraId="1EE2C053" w14:textId="2F82610B" w:rsidR="00DC6C4E" w:rsidRDefault="00DC6C4E" w:rsidP="00DF7BF9">
      <w:pPr>
        <w:pStyle w:val="Normal2"/>
        <w:numPr>
          <w:ilvl w:val="1"/>
          <w:numId w:val="39"/>
        </w:numPr>
        <w:spacing w:before="0" w:after="0"/>
      </w:pPr>
      <w:r>
        <w:t xml:space="preserve">Premises to be demolished or </w:t>
      </w:r>
      <w:r w:rsidR="00DF7BF9">
        <w:t>undergo serious repairs</w:t>
      </w:r>
    </w:p>
    <w:p w14:paraId="00E4F658" w14:textId="4B2401EE" w:rsidR="00DF7BF9" w:rsidRDefault="00DF7BF9" w:rsidP="00DF7BF9">
      <w:pPr>
        <w:pStyle w:val="Normal2"/>
        <w:numPr>
          <w:ilvl w:val="1"/>
          <w:numId w:val="39"/>
        </w:numPr>
        <w:spacing w:before="0" w:after="0"/>
      </w:pPr>
      <w:r>
        <w:t>Premises to be sold</w:t>
      </w:r>
    </w:p>
    <w:p w14:paraId="55F5E946" w14:textId="0719AF2B" w:rsidR="006F3FB9" w:rsidRDefault="00C1765A" w:rsidP="001473C3">
      <w:pPr>
        <w:pStyle w:val="Normal2"/>
      </w:pPr>
      <w:r>
        <w:t xml:space="preserve">Before issuing a Notice to Vacate, every effort will be made to work with the renter to resolve the issue, including </w:t>
      </w:r>
      <w:r w:rsidR="006F3FB9">
        <w:t xml:space="preserve">referral to services. In relevant situations, WHL will issue a Breach Notice or seek an Order of Compliance or Compensation prior to issuing </w:t>
      </w:r>
      <w:proofErr w:type="gramStart"/>
      <w:r w:rsidR="006F3FB9">
        <w:t>a</w:t>
      </w:r>
      <w:proofErr w:type="gramEnd"/>
      <w:r w:rsidR="006F3FB9">
        <w:t xml:space="preserve"> NTV. </w:t>
      </w:r>
    </w:p>
    <w:p w14:paraId="034687F0" w14:textId="13D9756D" w:rsidR="004E47DB" w:rsidRDefault="003E2D7B" w:rsidP="001473C3">
      <w:pPr>
        <w:pStyle w:val="Normal2"/>
      </w:pPr>
      <w:r>
        <w:t>Please see</w:t>
      </w:r>
      <w:r w:rsidR="00C363B3">
        <w:t xml:space="preserve"> WHL’s Antisocial or Dangerous Behaviour Policy for more information about investigati</w:t>
      </w:r>
      <w:r>
        <w:t xml:space="preserve">ng and </w:t>
      </w:r>
      <w:r w:rsidR="00BF745D">
        <w:t>acting</w:t>
      </w:r>
      <w:r>
        <w:t xml:space="preserve"> against renter behaviour. </w:t>
      </w:r>
    </w:p>
    <w:p w14:paraId="3EB557D3" w14:textId="77777777" w:rsidR="005E5D55" w:rsidRDefault="005E5D55" w:rsidP="004E47DB"/>
    <w:p w14:paraId="193DEB43" w14:textId="79228938" w:rsidR="005E5D55" w:rsidRDefault="00905342" w:rsidP="00905342">
      <w:pPr>
        <w:pStyle w:val="Heading2"/>
      </w:pPr>
      <w:r>
        <w:t>Death of a renter</w:t>
      </w:r>
    </w:p>
    <w:p w14:paraId="3F86CB87" w14:textId="154A5BA9" w:rsidR="00905342" w:rsidRPr="00181EA3" w:rsidRDefault="00905342" w:rsidP="00181EA3">
      <w:pPr>
        <w:pStyle w:val="Normal2"/>
      </w:pPr>
      <w:r w:rsidRPr="00181EA3">
        <w:t>If a sole renter dies without leaving a spouse, de-facto, partner or dependents whose details are known</w:t>
      </w:r>
      <w:r w:rsidR="00181EA3" w:rsidRPr="00181EA3">
        <w:t>, WHL</w:t>
      </w:r>
      <w:r w:rsidRPr="00181EA3">
        <w:t xml:space="preserve"> </w:t>
      </w:r>
      <w:r w:rsidR="003F051B" w:rsidRPr="00181EA3">
        <w:t xml:space="preserve">will </w:t>
      </w:r>
      <w:r w:rsidRPr="00181EA3">
        <w:t xml:space="preserve">apply to </w:t>
      </w:r>
      <w:r w:rsidR="00181EA3" w:rsidRPr="00181EA3">
        <w:t xml:space="preserve">VCAT </w:t>
      </w:r>
      <w:r w:rsidRPr="00181EA3">
        <w:t>under s91</w:t>
      </w:r>
      <w:r w:rsidR="00686EEF" w:rsidRPr="00181EA3">
        <w:t>N</w:t>
      </w:r>
      <w:r w:rsidRPr="00181EA3">
        <w:t xml:space="preserve"> for an order terminating the rental agreement.</w:t>
      </w:r>
    </w:p>
    <w:p w14:paraId="313AE02C" w14:textId="66578620" w:rsidR="00905342" w:rsidRPr="00181EA3" w:rsidRDefault="00905342" w:rsidP="00181EA3">
      <w:pPr>
        <w:pStyle w:val="Normal2"/>
      </w:pPr>
      <w:r w:rsidRPr="00181EA3">
        <w:t xml:space="preserve">If a sole renter dies but there is a spouse, de-facto, partner or dependent that we know </w:t>
      </w:r>
      <w:r w:rsidR="00181EA3" w:rsidRPr="00181EA3">
        <w:t>of</w:t>
      </w:r>
      <w:r w:rsidRPr="00181EA3">
        <w:t xml:space="preserve">, </w:t>
      </w:r>
      <w:r w:rsidR="00181EA3" w:rsidRPr="00181EA3">
        <w:t>WHL</w:t>
      </w:r>
      <w:r w:rsidRPr="00181EA3">
        <w:t xml:space="preserve"> will determine if a new rental agreement may </w:t>
      </w:r>
      <w:r w:rsidR="00181EA3" w:rsidRPr="00181EA3">
        <w:t>be signed</w:t>
      </w:r>
      <w:r w:rsidRPr="00181EA3">
        <w:t>. WHL may be required to end the tenancy due to eligibility criteria. If the next of kin does not consent to ending the tenancy, WHL may issue a Notice to Vacate under s91</w:t>
      </w:r>
      <w:proofErr w:type="gramStart"/>
      <w:r w:rsidRPr="00181EA3">
        <w:t>N(</w:t>
      </w:r>
      <w:proofErr w:type="gramEnd"/>
      <w:r w:rsidRPr="00181EA3">
        <w:t xml:space="preserve">3). </w:t>
      </w:r>
    </w:p>
    <w:p w14:paraId="3AB6C191" w14:textId="5FEFF1E0" w:rsidR="00905342" w:rsidRPr="00181EA3" w:rsidRDefault="00905342" w:rsidP="00181EA3">
      <w:pPr>
        <w:pStyle w:val="Normal2"/>
      </w:pPr>
      <w:r w:rsidRPr="00181EA3">
        <w:t xml:space="preserve">If a sole renter dies and there no other known occupants, we will contact the renter’s legal representative or next of kin to </w:t>
      </w:r>
      <w:r w:rsidR="0030788D" w:rsidRPr="00181EA3">
        <w:t>arrange</w:t>
      </w:r>
      <w:r w:rsidRPr="00181EA3">
        <w:t xml:space="preserve"> the personal belongings of the renter. </w:t>
      </w:r>
    </w:p>
    <w:p w14:paraId="7243A31E" w14:textId="77777777" w:rsidR="00905342" w:rsidRPr="00905342" w:rsidRDefault="00905342" w:rsidP="00905342"/>
    <w:p w14:paraId="59ED9BC5" w14:textId="6B7303EA" w:rsidR="00E85344" w:rsidRDefault="0008398A" w:rsidP="0008398A">
      <w:pPr>
        <w:pStyle w:val="Heading2"/>
      </w:pPr>
      <w:r>
        <w:t>Abandoned properties</w:t>
      </w:r>
    </w:p>
    <w:p w14:paraId="3EFC693E" w14:textId="5CD20F1C" w:rsidR="0008398A" w:rsidRPr="00AA156D" w:rsidRDefault="0008398A" w:rsidP="0008398A">
      <w:pPr>
        <w:pStyle w:val="Normal2"/>
      </w:pPr>
      <w:r w:rsidRPr="00AA156D">
        <w:t xml:space="preserve">If a property is suspected of having been abandoned, </w:t>
      </w:r>
      <w:r>
        <w:t>WHL will</w:t>
      </w:r>
    </w:p>
    <w:p w14:paraId="745E483C" w14:textId="77777777" w:rsidR="0008398A" w:rsidRPr="00E85344" w:rsidRDefault="0008398A" w:rsidP="0008398A">
      <w:pPr>
        <w:pStyle w:val="Bulleted"/>
      </w:pPr>
      <w:r w:rsidRPr="00E85344">
        <w:t>Immediately attempt to contact the renter and their support worker to ascertain if the property has been abandoned</w:t>
      </w:r>
    </w:p>
    <w:p w14:paraId="60062865" w14:textId="309EFE40" w:rsidR="0008398A" w:rsidRPr="00E85344" w:rsidRDefault="0008398A" w:rsidP="0008398A">
      <w:pPr>
        <w:pStyle w:val="Bulleted"/>
      </w:pPr>
      <w:r>
        <w:t xml:space="preserve">Issue </w:t>
      </w:r>
      <w:r w:rsidRPr="00E85344">
        <w:t xml:space="preserve">a </w:t>
      </w:r>
      <w:r>
        <w:t>Notice of Entry</w:t>
      </w:r>
      <w:r w:rsidRPr="00E85344">
        <w:t xml:space="preserve"> to the property</w:t>
      </w:r>
    </w:p>
    <w:p w14:paraId="67489B9B" w14:textId="563F0BB3" w:rsidR="0008398A" w:rsidRPr="00E85344" w:rsidRDefault="0008398A" w:rsidP="0008398A">
      <w:pPr>
        <w:pStyle w:val="Bulleted"/>
      </w:pPr>
      <w:r w:rsidRPr="00E85344">
        <w:t>After 24 hours, inspect the property</w:t>
      </w:r>
    </w:p>
    <w:p w14:paraId="67867F3E" w14:textId="069DE6E6" w:rsidR="0008398A" w:rsidRDefault="0008398A" w:rsidP="0008398A">
      <w:pPr>
        <w:pStyle w:val="Normal2"/>
      </w:pPr>
      <w:r>
        <w:lastRenderedPageBreak/>
        <w:t xml:space="preserve">WHL will conduct a thorough investigation to determine </w:t>
      </w:r>
      <w:r w:rsidRPr="00566AEF">
        <w:rPr>
          <w:lang w:val="en-AU"/>
        </w:rPr>
        <w:t>wh</w:t>
      </w:r>
      <w:r>
        <w:rPr>
          <w:lang w:val="en-AU"/>
        </w:rPr>
        <w:t>ether the property has been abandoned</w:t>
      </w:r>
      <w:r>
        <w:t>. Abandonment may be indicated by arrears, the a</w:t>
      </w:r>
      <w:r w:rsidRPr="000F54BB">
        <w:t xml:space="preserve">bsence of </w:t>
      </w:r>
      <w:r>
        <w:t xml:space="preserve">essential items (bedding, furniture, food) and </w:t>
      </w:r>
      <w:r w:rsidRPr="000F54BB">
        <w:t xml:space="preserve">personal belongings in </w:t>
      </w:r>
      <w:r>
        <w:t>property, non-collection of mail or disconnection of utilities.</w:t>
      </w:r>
    </w:p>
    <w:p w14:paraId="3FF8D738" w14:textId="77544095" w:rsidR="0008398A" w:rsidRPr="008465A0" w:rsidRDefault="0008398A" w:rsidP="008465A0">
      <w:pPr>
        <w:pStyle w:val="Normal2"/>
        <w:rPr>
          <w:lang w:val="en-AU"/>
        </w:rPr>
      </w:pPr>
      <w:r>
        <w:t xml:space="preserve">WHL </w:t>
      </w:r>
      <w:r w:rsidR="00100682">
        <w:t xml:space="preserve">will apply to VCAT for a declaration of abandonment if a property shows strong signs of being abandoned and the renter or their next of kin is uncontactable. </w:t>
      </w:r>
      <w:r w:rsidR="00E309E1">
        <w:t xml:space="preserve">Renters are strongly encouraged to notify WHL of any extended absences. </w:t>
      </w:r>
    </w:p>
    <w:p w14:paraId="74DE7D70" w14:textId="77777777" w:rsidR="0008398A" w:rsidRDefault="0008398A" w:rsidP="0008398A"/>
    <w:p w14:paraId="295EE181" w14:textId="6E00CC6F" w:rsidR="0008398A" w:rsidRDefault="007E5DA8" w:rsidP="007E5DA8">
      <w:pPr>
        <w:pStyle w:val="Heading1"/>
      </w:pPr>
      <w:r>
        <w:t>Legal requirements and compliance</w:t>
      </w:r>
    </w:p>
    <w:p w14:paraId="266EBD51" w14:textId="5F2D48AC" w:rsidR="00B65B9A" w:rsidRDefault="007E5DA8" w:rsidP="001473C3">
      <w:pPr>
        <w:pStyle w:val="Normal2"/>
      </w:pPr>
      <w:r>
        <w:t xml:space="preserve">All tenancy terminations will be conducted in accordance with the RTA, including specific provisions relating to rooming houses. </w:t>
      </w:r>
      <w:r w:rsidR="00F57C7C">
        <w:t xml:space="preserve">WHL will utilise prescribed forms provided by Consumer Affairs Victoria where relevant and abide by all instructions from VCAT, including ensuring the renter is informed about the process and knows their rights. </w:t>
      </w:r>
    </w:p>
    <w:p w14:paraId="45C3ECC9" w14:textId="1FBB7CA0" w:rsidR="00B65B9A" w:rsidRDefault="00B65B9A" w:rsidP="001473C3">
      <w:pPr>
        <w:pStyle w:val="Normal2"/>
      </w:pPr>
      <w:r>
        <w:br/>
        <w:t>Communication with renters will be clear, respectful</w:t>
      </w:r>
      <w:r w:rsidR="00E24FB5">
        <w:t xml:space="preserve">, </w:t>
      </w:r>
      <w:r>
        <w:t xml:space="preserve">timely, </w:t>
      </w:r>
      <w:r w:rsidR="00E24FB5">
        <w:t xml:space="preserve">and </w:t>
      </w:r>
      <w:r>
        <w:t>us</w:t>
      </w:r>
      <w:r w:rsidR="00E24FB5">
        <w:t>e</w:t>
      </w:r>
      <w:r>
        <w:t xml:space="preserve"> accessible language. Where appropriate, WHL will arrange interpreters to ensure that renters understand their rights and </w:t>
      </w:r>
      <w:r w:rsidR="00635757">
        <w:t>obligations</w:t>
      </w:r>
      <w:r>
        <w:t xml:space="preserve">. </w:t>
      </w:r>
      <w:r w:rsidR="00635757">
        <w:t>Renters</w:t>
      </w:r>
      <w:r>
        <w:t xml:space="preserve"> will be provided adequate information about the</w:t>
      </w:r>
      <w:r w:rsidR="00635757">
        <w:t xml:space="preserve"> reasons for proposed termination of the tenancy and any available avenues for appeal. </w:t>
      </w:r>
    </w:p>
    <w:p w14:paraId="0FB06585" w14:textId="77777777" w:rsidR="00B00A19" w:rsidRDefault="00B00A19" w:rsidP="0008398A"/>
    <w:p w14:paraId="019ACC36" w14:textId="5717D99C" w:rsidR="00F65C3D" w:rsidRDefault="00F65C3D" w:rsidP="00F65C3D">
      <w:pPr>
        <w:pStyle w:val="Heading1"/>
      </w:pPr>
      <w:r>
        <w:t>Cultural safety and human rights considerations</w:t>
      </w:r>
    </w:p>
    <w:p w14:paraId="284D6D7E" w14:textId="3AB92BED" w:rsidR="00DF7705" w:rsidRDefault="00F65C3D" w:rsidP="001473C3">
      <w:pPr>
        <w:pStyle w:val="Normal2"/>
      </w:pPr>
      <w:r>
        <w:t>WHL recognises that terminating tenancies can have disproportionate impacts on people experiencing systemic disadvantage. In line with our obligations under the Charter of Human Rights and Responsibilities Act 2006 (The Charter), WHL will assess whether a decision to end a tenancy is reasonable, proportionate and necessary</w:t>
      </w:r>
      <w:r w:rsidR="00B65B9A">
        <w:t xml:space="preserve"> as a last resort. </w:t>
      </w:r>
      <w:r w:rsidR="00DF7705">
        <w:t>This includes a specific analysis of the impact of eviction on the renter</w:t>
      </w:r>
      <w:r w:rsidR="00391077">
        <w:t>, considering any additional circumstances such as age, disability, culture, mental health</w:t>
      </w:r>
      <w:r w:rsidR="00B65B9A">
        <w:t xml:space="preserve">, gender or other factors. </w:t>
      </w:r>
    </w:p>
    <w:p w14:paraId="4938D6ED" w14:textId="595050E3" w:rsidR="00030772" w:rsidRDefault="00DF7705" w:rsidP="001473C3">
      <w:pPr>
        <w:pStyle w:val="Normal2"/>
      </w:pPr>
      <w:r>
        <w:t>WHL will take additional steps to ensure that culturally safe and appropriate supports are offered to Aboriginal and Torres Strait Islander renters</w:t>
      </w:r>
      <w:r w:rsidR="00030772">
        <w:t xml:space="preserve"> and will collaborate with specialist services to ensure that renters are heard and supported. </w:t>
      </w:r>
    </w:p>
    <w:p w14:paraId="57C9AF92" w14:textId="4330C9DC" w:rsidR="0008398A" w:rsidRDefault="00030772" w:rsidP="008465A0">
      <w:pPr>
        <w:pStyle w:val="Normal2"/>
      </w:pPr>
      <w:r>
        <w:t>WHL abides by the Multi-</w:t>
      </w:r>
      <w:r w:rsidR="00B749FC">
        <w:t xml:space="preserve">Agency Risk Assessment and Management Framework (MARAM) to ensure all decisions are made in consideration of family violence risk factors. </w:t>
      </w:r>
    </w:p>
    <w:p w14:paraId="07762E8E" w14:textId="77777777" w:rsidR="0008398A" w:rsidRDefault="0008398A" w:rsidP="0008398A"/>
    <w:p w14:paraId="6EEB0A2C" w14:textId="048301C6" w:rsidR="0008398A" w:rsidRDefault="009D37D6" w:rsidP="00B00A19">
      <w:pPr>
        <w:pStyle w:val="Heading1"/>
      </w:pPr>
      <w:r>
        <w:t>Evictions</w:t>
      </w:r>
    </w:p>
    <w:p w14:paraId="4436BED5" w14:textId="582FDF0A" w:rsidR="009D37D6" w:rsidRPr="009D37D6" w:rsidRDefault="009D37D6" w:rsidP="001473C3">
      <w:pPr>
        <w:pStyle w:val="Normal2"/>
      </w:pPr>
      <w:r>
        <w:t xml:space="preserve">Where VCAT grant an Order of Possession to WHL and the renter fails to leave the premises, WHL may pursue formal eviction to secure </w:t>
      </w:r>
      <w:r w:rsidR="00D2379C">
        <w:t>possession. If eligible, WHL will purchase a Warrant of Possession from VCAT</w:t>
      </w:r>
      <w:r w:rsidR="0068420C">
        <w:t xml:space="preserve">. This will only ever occur as a last resort option to terminate a tenancy after alternative action has been considered. </w:t>
      </w:r>
    </w:p>
    <w:bookmarkEnd w:id="4"/>
    <w:bookmarkEnd w:id="5"/>
    <w:bookmarkEnd w:id="6"/>
    <w:bookmarkEnd w:id="7"/>
    <w:bookmarkEnd w:id="8"/>
    <w:bookmarkEnd w:id="9"/>
    <w:p w14:paraId="08C39DF9" w14:textId="368FB3DC" w:rsidR="00E85344" w:rsidRDefault="007F3350" w:rsidP="001473C3">
      <w:pPr>
        <w:pStyle w:val="Normal2"/>
      </w:pPr>
      <w:r>
        <w:t>WHL will coordinate with the local police station to carry</w:t>
      </w:r>
      <w:r w:rsidR="0068420C">
        <w:t xml:space="preserve"> </w:t>
      </w:r>
      <w:r>
        <w:t xml:space="preserve">out a Warrant of Possession, which includes changing the locks while the </w:t>
      </w:r>
      <w:r w:rsidR="0068420C">
        <w:t xml:space="preserve">former renter is escorted from the property. </w:t>
      </w:r>
      <w:r w:rsidR="0073696B">
        <w:t xml:space="preserve">WHL will attempt to give as much notice as possible prior to enforcing Warrants of Possession. </w:t>
      </w:r>
    </w:p>
    <w:p w14:paraId="0D5050B7" w14:textId="77777777" w:rsidR="00853CAD" w:rsidRDefault="00853CAD" w:rsidP="00E85344">
      <w:pPr>
        <w:pStyle w:val="Normal2"/>
      </w:pPr>
    </w:p>
    <w:p w14:paraId="5C49DE01" w14:textId="77777777" w:rsidR="00853CAD" w:rsidRDefault="00853CAD" w:rsidP="00E85344">
      <w:pPr>
        <w:pStyle w:val="Normal2"/>
      </w:pPr>
    </w:p>
    <w:p w14:paraId="539000DE" w14:textId="77777777" w:rsidR="00E85344" w:rsidRDefault="00E85344" w:rsidP="00E85344">
      <w:pPr>
        <w:pStyle w:val="Heading1"/>
      </w:pPr>
      <w:bookmarkStart w:id="10" w:name="_Toc78899157"/>
      <w:r>
        <w:lastRenderedPageBreak/>
        <w:t>Bond Management</w:t>
      </w:r>
      <w:bookmarkEnd w:id="10"/>
    </w:p>
    <w:p w14:paraId="08181385" w14:textId="5FCF3AE5" w:rsidR="007B28D8" w:rsidRDefault="0073696B" w:rsidP="00E85344">
      <w:pPr>
        <w:pStyle w:val="Normal2"/>
      </w:pPr>
      <w:r>
        <w:t xml:space="preserve">If there </w:t>
      </w:r>
      <w:r w:rsidR="00B016A8">
        <w:t>are</w:t>
      </w:r>
      <w:r>
        <w:t xml:space="preserve"> outstanding arrears, renter damage</w:t>
      </w:r>
      <w:r w:rsidR="007B28D8">
        <w:t>,</w:t>
      </w:r>
      <w:r>
        <w:t xml:space="preserve"> </w:t>
      </w:r>
      <w:r w:rsidR="00B016A8">
        <w:t>goods left behind</w:t>
      </w:r>
      <w:r w:rsidR="007B28D8">
        <w:t xml:space="preserve"> or the condition of the property requires professional cleaning,</w:t>
      </w:r>
      <w:r w:rsidR="00B016A8">
        <w:t xml:space="preserve"> WHL will submit a claim to VCAT for a portion of the bond to cover any costs. </w:t>
      </w:r>
      <w:r w:rsidR="007B28D8">
        <w:t xml:space="preserve">Please see WHL’s Bond Management Policy for more information about this process. </w:t>
      </w:r>
    </w:p>
    <w:p w14:paraId="42838F21" w14:textId="77777777" w:rsidR="00E85344" w:rsidRPr="003D26F1" w:rsidRDefault="00E85344" w:rsidP="00E85344">
      <w:pPr>
        <w:pStyle w:val="Normal2"/>
      </w:pPr>
    </w:p>
    <w:p w14:paraId="7359B136" w14:textId="00414256" w:rsidR="00AE1F6B" w:rsidRDefault="00AE1F6B" w:rsidP="00AE1F6B">
      <w:pPr>
        <w:pStyle w:val="Heading1"/>
      </w:pPr>
      <w:r>
        <w:t>Complaints and appeals</w:t>
      </w:r>
    </w:p>
    <w:p w14:paraId="5046578E" w14:textId="6FDED057" w:rsidR="00FC0DD3" w:rsidRDefault="00AE1F6B" w:rsidP="008465A0">
      <w:pPr>
        <w:pStyle w:val="Normal2"/>
      </w:pPr>
      <w:r>
        <w:t>Renters are entitled to challenge decisions to end a tenancy</w:t>
      </w:r>
      <w:r w:rsidR="00916745">
        <w:t xml:space="preserve">. Renters should refer to WHL’s </w:t>
      </w:r>
      <w:r w:rsidR="00FC0DD3">
        <w:t>Complaints</w:t>
      </w:r>
      <w:r w:rsidR="00916745">
        <w:t xml:space="preserve"> and </w:t>
      </w:r>
      <w:r w:rsidR="00FC0DD3">
        <w:t>Appeals</w:t>
      </w:r>
      <w:r w:rsidR="00916745">
        <w:t xml:space="preserve"> </w:t>
      </w:r>
      <w:r w:rsidR="00024616">
        <w:t xml:space="preserve">Policy for information about submitting an appeal. WHL </w:t>
      </w:r>
      <w:r w:rsidR="00A46C77">
        <w:t xml:space="preserve">can provide additional information about legal services or regulatory bodies that may assist renters to make a formal complaint or appeal. </w:t>
      </w:r>
    </w:p>
    <w:p w14:paraId="66CFE867" w14:textId="77777777" w:rsidR="00FC0DD3" w:rsidRPr="00AE1F6B" w:rsidRDefault="00FC0DD3" w:rsidP="00AE1F6B"/>
    <w:p w14:paraId="3E9C7BE0" w14:textId="77777777" w:rsidR="00E85344" w:rsidRPr="00265731" w:rsidRDefault="00E85344" w:rsidP="00E85344">
      <w:pPr>
        <w:pStyle w:val="Heading1"/>
      </w:pPr>
      <w:bookmarkStart w:id="11" w:name="_Toc476689282"/>
      <w:bookmarkStart w:id="12" w:name="_Toc78899160"/>
      <w:r w:rsidRPr="00265731">
        <w:t>Responsibilities</w:t>
      </w:r>
      <w:bookmarkEnd w:id="11"/>
      <w:bookmarkEnd w:id="12"/>
    </w:p>
    <w:p w14:paraId="14491AD1" w14:textId="77777777" w:rsidR="00E85344" w:rsidRPr="00265731" w:rsidRDefault="00E85344" w:rsidP="00E85344">
      <w:pPr>
        <w:pStyle w:val="Heading2"/>
      </w:pPr>
      <w:bookmarkStart w:id="13" w:name="_Toc476689283"/>
      <w:bookmarkStart w:id="14" w:name="_Toc78899161"/>
      <w:r w:rsidRPr="00265731">
        <w:t>Board</w:t>
      </w:r>
      <w:bookmarkEnd w:id="13"/>
      <w:bookmarkEnd w:id="14"/>
    </w:p>
    <w:p w14:paraId="5396809E" w14:textId="14BF9897" w:rsidR="00E85344" w:rsidRPr="00E85344" w:rsidRDefault="00A46C77" w:rsidP="00E85344">
      <w:pPr>
        <w:pStyle w:val="Bulleted"/>
      </w:pPr>
      <w:r>
        <w:t xml:space="preserve">To be aware of this policy </w:t>
      </w:r>
    </w:p>
    <w:p w14:paraId="4FD10C2F" w14:textId="77777777" w:rsidR="00E85344" w:rsidRPr="00265731" w:rsidRDefault="00E85344" w:rsidP="00E85344">
      <w:pPr>
        <w:pStyle w:val="Heading2"/>
      </w:pPr>
      <w:bookmarkStart w:id="15" w:name="_Toc476689284"/>
      <w:bookmarkStart w:id="16" w:name="_Toc78899162"/>
      <w:r w:rsidRPr="00265731">
        <w:t>C</w:t>
      </w:r>
      <w:r>
        <w:t>hief Executive O</w:t>
      </w:r>
      <w:r w:rsidRPr="00265731">
        <w:t>fficer</w:t>
      </w:r>
      <w:bookmarkEnd w:id="15"/>
      <w:bookmarkEnd w:id="16"/>
    </w:p>
    <w:p w14:paraId="21CD384C" w14:textId="55E8AE24" w:rsidR="00E85344" w:rsidRPr="00E85344" w:rsidRDefault="00E85344" w:rsidP="00E85344">
      <w:pPr>
        <w:pStyle w:val="Bulleted"/>
      </w:pPr>
      <w:r>
        <w:t>To</w:t>
      </w:r>
      <w:r w:rsidRPr="00E85344">
        <w:t xml:space="preserve"> be aware of this policy and the requirements of the</w:t>
      </w:r>
      <w:r w:rsidR="00ED1CDA">
        <w:t xml:space="preserve"> RTA </w:t>
      </w:r>
      <w:r w:rsidRPr="00E85344">
        <w:t xml:space="preserve">and the relevant policies of the Housing Registrar and other bodies and stakeholders with legitimate requirements and expectations in this area </w:t>
      </w:r>
    </w:p>
    <w:p w14:paraId="5FDDB52C" w14:textId="77777777" w:rsidR="00E85344" w:rsidRPr="00265731" w:rsidRDefault="00E85344" w:rsidP="00E85344">
      <w:pPr>
        <w:pStyle w:val="Heading2"/>
      </w:pPr>
      <w:bookmarkStart w:id="17" w:name="_Toc476689285"/>
      <w:bookmarkStart w:id="18" w:name="_Toc78899163"/>
      <w:r>
        <w:t xml:space="preserve">Operations </w:t>
      </w:r>
      <w:r w:rsidRPr="00265731">
        <w:t>Manager</w:t>
      </w:r>
      <w:bookmarkEnd w:id="17"/>
      <w:bookmarkEnd w:id="18"/>
    </w:p>
    <w:p w14:paraId="577C48DA" w14:textId="77777777" w:rsidR="00E85344" w:rsidRPr="00E85344" w:rsidRDefault="00E85344" w:rsidP="00E85344">
      <w:pPr>
        <w:pStyle w:val="Bulleted"/>
      </w:pPr>
      <w:r w:rsidRPr="00E85344">
        <w:t>To be aware of and oversee implementation this policy</w:t>
      </w:r>
    </w:p>
    <w:p w14:paraId="5603B44D" w14:textId="6DBA83E3" w:rsidR="00E85344" w:rsidRPr="00E85344" w:rsidRDefault="00E85344" w:rsidP="00E85344">
      <w:pPr>
        <w:pStyle w:val="Bulleted"/>
      </w:pPr>
      <w:r w:rsidRPr="00E85344">
        <w:t xml:space="preserve">To understand the requirements of the </w:t>
      </w:r>
      <w:r w:rsidR="00ED1CDA">
        <w:t>RTA</w:t>
      </w:r>
      <w:r w:rsidRPr="00E85344">
        <w:t xml:space="preserve"> and the relevant policies of the Housing Registrar and other bodies and stakeholders with legitimate requirements and expectations in this area </w:t>
      </w:r>
    </w:p>
    <w:p w14:paraId="6728D765" w14:textId="01594620" w:rsidR="00E85344" w:rsidRDefault="00ED1CDA" w:rsidP="00E85344">
      <w:pPr>
        <w:pStyle w:val="Bulleted"/>
      </w:pPr>
      <w:r>
        <w:t>To</w:t>
      </w:r>
      <w:r w:rsidR="00E85344" w:rsidRPr="00E85344">
        <w:t xml:space="preserve"> provide briefings to the</w:t>
      </w:r>
      <w:r>
        <w:t xml:space="preserve"> Senior Management Team </w:t>
      </w:r>
      <w:r w:rsidR="00E85344" w:rsidRPr="00E85344">
        <w:t>about WHL tenancy terminations</w:t>
      </w:r>
    </w:p>
    <w:p w14:paraId="3D1418B6" w14:textId="7576A28A" w:rsidR="00ED1CDA" w:rsidRPr="00E85344" w:rsidRDefault="00ED1CDA" w:rsidP="00E85344">
      <w:pPr>
        <w:pStyle w:val="Bulleted"/>
      </w:pPr>
      <w:r>
        <w:t>To approve the purchase of Warrants of Possession</w:t>
      </w:r>
    </w:p>
    <w:p w14:paraId="2DC40872" w14:textId="77777777" w:rsidR="00E85344" w:rsidRDefault="00E85344" w:rsidP="00E85344">
      <w:pPr>
        <w:pStyle w:val="Heading2"/>
      </w:pPr>
      <w:bookmarkStart w:id="19" w:name="_Toc476689286"/>
      <w:bookmarkStart w:id="20" w:name="_Toc78899164"/>
      <w:r>
        <w:t>Housing Services Manager</w:t>
      </w:r>
      <w:bookmarkEnd w:id="19"/>
      <w:bookmarkEnd w:id="20"/>
    </w:p>
    <w:p w14:paraId="5484CCD6" w14:textId="6346876F" w:rsidR="00E85344" w:rsidRPr="00E85344" w:rsidRDefault="00E85344" w:rsidP="00E85344">
      <w:pPr>
        <w:pStyle w:val="Bulleted"/>
      </w:pPr>
      <w:r w:rsidRPr="00E85344">
        <w:t xml:space="preserve">To oversee implementation this policy </w:t>
      </w:r>
    </w:p>
    <w:p w14:paraId="05B31C44" w14:textId="55B63884" w:rsidR="00E85344" w:rsidRPr="00E85344" w:rsidRDefault="00E85344" w:rsidP="00E85344">
      <w:pPr>
        <w:pStyle w:val="Bulleted"/>
      </w:pPr>
      <w:r w:rsidRPr="00E85344">
        <w:t xml:space="preserve">To understand the requirements of the </w:t>
      </w:r>
      <w:r w:rsidR="00372AF3">
        <w:t>RTA</w:t>
      </w:r>
      <w:r w:rsidRPr="00E85344">
        <w:t xml:space="preserve"> and the relevant policies of the Housing Registrar and other bodies and stakeholders with legitimate requirements and expectations in this area </w:t>
      </w:r>
    </w:p>
    <w:p w14:paraId="5F62F92B" w14:textId="0CD61329" w:rsidR="00ED1CDA" w:rsidRDefault="00ED1CDA" w:rsidP="00E85344">
      <w:pPr>
        <w:pStyle w:val="Bulleted"/>
      </w:pPr>
      <w:r>
        <w:t>To approve Notices to Vacate and Applications to VCAT</w:t>
      </w:r>
    </w:p>
    <w:p w14:paraId="43500D1B" w14:textId="41C28B33" w:rsidR="00E85344" w:rsidRPr="00E85344" w:rsidRDefault="00ED1CDA" w:rsidP="00E85344">
      <w:pPr>
        <w:pStyle w:val="Bulleted"/>
      </w:pPr>
      <w:r>
        <w:t>To</w:t>
      </w:r>
      <w:r w:rsidR="00E85344" w:rsidRPr="00E85344">
        <w:t xml:space="preserve"> refer</w:t>
      </w:r>
      <w:r>
        <w:t xml:space="preserve"> complex</w:t>
      </w:r>
      <w:r w:rsidR="00E85344" w:rsidRPr="00E85344">
        <w:t xml:space="preserve"> tenancy terminations matters to the Operations Manager </w:t>
      </w:r>
    </w:p>
    <w:p w14:paraId="7113ABAF" w14:textId="77777777" w:rsidR="00E85344" w:rsidRPr="00E85344" w:rsidRDefault="00E85344" w:rsidP="00E85344">
      <w:pPr>
        <w:pStyle w:val="Bulleted"/>
      </w:pPr>
      <w:r w:rsidRPr="00E85344">
        <w:t>To oversee, direct, support and assist Tenancy Officers</w:t>
      </w:r>
    </w:p>
    <w:p w14:paraId="1AAE417A" w14:textId="77777777" w:rsidR="00E85344" w:rsidRDefault="00E85344" w:rsidP="00E85344">
      <w:pPr>
        <w:pStyle w:val="Heading2"/>
      </w:pPr>
      <w:bookmarkStart w:id="21" w:name="_Toc476689287"/>
      <w:bookmarkStart w:id="22" w:name="_Toc78899165"/>
      <w:r>
        <w:t>Tenancy Officers</w:t>
      </w:r>
      <w:bookmarkEnd w:id="21"/>
      <w:bookmarkEnd w:id="22"/>
      <w:r>
        <w:t xml:space="preserve"> </w:t>
      </w:r>
    </w:p>
    <w:p w14:paraId="2A12A430" w14:textId="0BA9BDA7" w:rsidR="00E85344" w:rsidRPr="001473C3" w:rsidRDefault="00E85344" w:rsidP="001473C3">
      <w:pPr>
        <w:pStyle w:val="Bulleted"/>
      </w:pPr>
      <w:r w:rsidRPr="001473C3">
        <w:t xml:space="preserve">To implement this policy </w:t>
      </w:r>
    </w:p>
    <w:p w14:paraId="28318820" w14:textId="72FEBB53" w:rsidR="00E85344" w:rsidRPr="001473C3" w:rsidRDefault="00E85344" w:rsidP="001473C3">
      <w:pPr>
        <w:pStyle w:val="Bulleted"/>
      </w:pPr>
      <w:r w:rsidRPr="001473C3">
        <w:t xml:space="preserve">To understand the requirements of the </w:t>
      </w:r>
      <w:r w:rsidR="00372AF3" w:rsidRPr="001473C3">
        <w:t>RTA</w:t>
      </w:r>
      <w:r w:rsidRPr="001473C3">
        <w:t xml:space="preserve"> and the relevant policies of the Housing Registrar and other bodies and stakeholders with legitimate requirements and expectations in this area </w:t>
      </w:r>
    </w:p>
    <w:p w14:paraId="0F40006E" w14:textId="37065408" w:rsidR="00E85344" w:rsidRPr="001473C3" w:rsidRDefault="00ED1CDA" w:rsidP="001473C3">
      <w:pPr>
        <w:pStyle w:val="Bulleted"/>
      </w:pPr>
      <w:r w:rsidRPr="001473C3">
        <w:t xml:space="preserve">To </w:t>
      </w:r>
      <w:r w:rsidR="00372AF3" w:rsidRPr="001473C3">
        <w:t>follow legislative requirements in the tenancy termination process</w:t>
      </w:r>
    </w:p>
    <w:p w14:paraId="0F6CB38E" w14:textId="57232ABF" w:rsidR="00372AF3" w:rsidRPr="001473C3" w:rsidRDefault="00372AF3" w:rsidP="001473C3">
      <w:pPr>
        <w:pStyle w:val="Bulleted"/>
      </w:pPr>
      <w:r w:rsidRPr="001473C3">
        <w:t>To seek appropriate approvals prior to issuing Notices to Vacate, Applications or Warrant of Possession</w:t>
      </w:r>
    </w:p>
    <w:p w14:paraId="7121E3D7" w14:textId="40BF8080" w:rsidR="00E85344" w:rsidRDefault="00E85344" w:rsidP="00372AF3">
      <w:pPr>
        <w:pStyle w:val="Heading1"/>
      </w:pPr>
      <w:bookmarkStart w:id="23" w:name="_Toc391906736"/>
      <w:r>
        <w:br w:type="page"/>
      </w:r>
      <w:bookmarkStart w:id="24" w:name="_Toc476742704"/>
      <w:bookmarkStart w:id="25" w:name="_Toc78899167"/>
      <w:r w:rsidRPr="00265731">
        <w:lastRenderedPageBreak/>
        <w:t>Reviewing</w:t>
      </w:r>
      <w:bookmarkEnd w:id="24"/>
      <w:bookmarkEnd w:id="25"/>
    </w:p>
    <w:p w14:paraId="3C2E9190" w14:textId="4072D26B" w:rsidR="00E85344" w:rsidRDefault="00E85344" w:rsidP="00E85344">
      <w:pPr>
        <w:pStyle w:val="Normal2"/>
      </w:pPr>
      <w:r>
        <w:t>This policy will be reviewed e</w:t>
      </w:r>
      <w:r w:rsidRPr="0019684D">
        <w:t xml:space="preserve">very two years </w:t>
      </w:r>
      <w:r>
        <w:t>when changes in the policy or legislative environment require.</w:t>
      </w:r>
    </w:p>
    <w:p w14:paraId="61930EDD" w14:textId="77777777" w:rsidR="00E85344" w:rsidRPr="0019684D" w:rsidRDefault="00E85344" w:rsidP="00E85344">
      <w:pPr>
        <w:pStyle w:val="Normal2"/>
      </w:pPr>
    </w:p>
    <w:p w14:paraId="61AE0E0C" w14:textId="77777777" w:rsidR="00E85344" w:rsidRPr="00265731" w:rsidRDefault="00E85344" w:rsidP="00E85344">
      <w:pPr>
        <w:pStyle w:val="Heading1"/>
      </w:pPr>
      <w:bookmarkStart w:id="26" w:name="_Toc476742705"/>
      <w:bookmarkStart w:id="27" w:name="_Toc78899168"/>
      <w:r w:rsidRPr="00265731">
        <w:t xml:space="preserve">Related </w:t>
      </w:r>
      <w:r>
        <w:t xml:space="preserve">Policies and </w:t>
      </w:r>
      <w:r w:rsidRPr="00265731">
        <w:t>Documents</w:t>
      </w:r>
      <w:bookmarkEnd w:id="26"/>
      <w:bookmarkEnd w:id="27"/>
    </w:p>
    <w:p w14:paraId="6D5DD36C" w14:textId="190096FD" w:rsidR="00E85344" w:rsidRDefault="00372AF3" w:rsidP="00E85344">
      <w:pPr>
        <w:pStyle w:val="Bulleted"/>
      </w:pPr>
      <w:r>
        <w:t>WHL Arrears Policy</w:t>
      </w:r>
    </w:p>
    <w:p w14:paraId="7D72EEEE" w14:textId="06A1305C" w:rsidR="00372AF3" w:rsidRDefault="00372AF3" w:rsidP="00E85344">
      <w:pPr>
        <w:pStyle w:val="Bulleted"/>
      </w:pPr>
      <w:r>
        <w:t xml:space="preserve">WHL </w:t>
      </w:r>
      <w:r w:rsidR="00BF745D">
        <w:t>Antisocial and Dangerous Behaviour Policy</w:t>
      </w:r>
    </w:p>
    <w:p w14:paraId="667D6F45" w14:textId="0204059D" w:rsidR="00BF745D" w:rsidRDefault="00BF745D" w:rsidP="00E85344">
      <w:pPr>
        <w:pStyle w:val="Bulleted"/>
      </w:pPr>
      <w:r>
        <w:t>WHL Bond Management Policy</w:t>
      </w:r>
    </w:p>
    <w:p w14:paraId="1D4625B7" w14:textId="1F4F5A66" w:rsidR="00BF745D" w:rsidRDefault="00BF745D" w:rsidP="00E85344">
      <w:pPr>
        <w:pStyle w:val="Bulleted"/>
      </w:pPr>
      <w:r>
        <w:t>WHL Goods Left Behind Policy</w:t>
      </w:r>
    </w:p>
    <w:p w14:paraId="6F7B8628" w14:textId="2040D5F6" w:rsidR="00BF745D" w:rsidRDefault="00BF745D" w:rsidP="00E85344">
      <w:pPr>
        <w:pStyle w:val="Bulleted"/>
      </w:pPr>
      <w:r>
        <w:t>WHL Hoarding and Squalor Policy</w:t>
      </w:r>
    </w:p>
    <w:p w14:paraId="7648D403" w14:textId="611433B3" w:rsidR="00BF745D" w:rsidRDefault="00BF745D" w:rsidP="00E85344">
      <w:pPr>
        <w:pStyle w:val="Bulleted"/>
      </w:pPr>
      <w:r>
        <w:t>WHL Pets Policy</w:t>
      </w:r>
    </w:p>
    <w:p w14:paraId="10206998" w14:textId="0370A6B8" w:rsidR="00BF745D" w:rsidRDefault="00BF745D" w:rsidP="00E85344">
      <w:pPr>
        <w:pStyle w:val="Bulleted"/>
      </w:pPr>
      <w:r>
        <w:t>WHL Renter Damage Policy</w:t>
      </w:r>
    </w:p>
    <w:p w14:paraId="5836AA8F" w14:textId="14244C93" w:rsidR="00BF745D" w:rsidRDefault="00BF745D" w:rsidP="00E85344">
      <w:pPr>
        <w:pStyle w:val="Bulleted"/>
      </w:pPr>
      <w:r>
        <w:t>WHL Squatting &amp; Subletting Policy</w:t>
      </w:r>
    </w:p>
    <w:p w14:paraId="68054DC5" w14:textId="119A6CFF" w:rsidR="00E85344" w:rsidRDefault="00BF745D" w:rsidP="00E85344">
      <w:pPr>
        <w:pStyle w:val="Bulleted"/>
      </w:pPr>
      <w:r>
        <w:t>WHL Rental Hardship &amp; Temporary Absence Policy</w:t>
      </w:r>
    </w:p>
    <w:p w14:paraId="12ECBFA6" w14:textId="77777777" w:rsidR="00E85344" w:rsidRDefault="00E85344" w:rsidP="00E85344">
      <w:pPr>
        <w:pStyle w:val="Normal2"/>
      </w:pPr>
    </w:p>
    <w:p w14:paraId="1F810C5D" w14:textId="77777777" w:rsidR="00E85344" w:rsidRDefault="00E85344" w:rsidP="00E85344">
      <w:pPr>
        <w:pStyle w:val="Heading1"/>
      </w:pPr>
      <w:bookmarkStart w:id="28" w:name="_Toc391906728"/>
      <w:bookmarkStart w:id="29" w:name="_Toc476742706"/>
      <w:bookmarkStart w:id="30" w:name="_Toc78899170"/>
      <w:r w:rsidRPr="00265731">
        <w:t>Relevant Legislation</w:t>
      </w:r>
      <w:bookmarkEnd w:id="28"/>
      <w:bookmarkEnd w:id="29"/>
      <w:bookmarkEnd w:id="30"/>
    </w:p>
    <w:p w14:paraId="34C40315" w14:textId="77777777" w:rsidR="00E85344" w:rsidRPr="00E85344" w:rsidRDefault="00E85344" w:rsidP="00E85344">
      <w:pPr>
        <w:pStyle w:val="Bulleted"/>
      </w:pPr>
      <w:r w:rsidRPr="00E85344">
        <w:t>The Charter of Human Rights and Responsibilities Act 2006 (Vic)</w:t>
      </w:r>
    </w:p>
    <w:p w14:paraId="5EB7186A" w14:textId="0D6A545D" w:rsidR="00E85344" w:rsidRPr="00E85344" w:rsidRDefault="00E85344" w:rsidP="00E85344">
      <w:pPr>
        <w:pStyle w:val="Bulleted"/>
      </w:pPr>
      <w:r w:rsidRPr="00E85344">
        <w:t>Residential Tenancies Act 1997</w:t>
      </w:r>
      <w:r w:rsidR="00BF745D">
        <w:t xml:space="preserve"> (Vic)</w:t>
      </w:r>
    </w:p>
    <w:p w14:paraId="194EADAB" w14:textId="77777777" w:rsidR="00E85344" w:rsidRDefault="00E85344" w:rsidP="00E85344">
      <w:pPr>
        <w:pStyle w:val="Heading1"/>
        <w:numPr>
          <w:ilvl w:val="0"/>
          <w:numId w:val="0"/>
        </w:numPr>
        <w:ind w:left="851" w:hanging="851"/>
      </w:pPr>
      <w:r>
        <w:br w:type="page"/>
      </w:r>
      <w:bookmarkStart w:id="31" w:name="_Toc78899171"/>
      <w:r>
        <w:lastRenderedPageBreak/>
        <w:t>Appendix 1</w:t>
      </w:r>
      <w:bookmarkEnd w:id="31"/>
    </w:p>
    <w:p w14:paraId="7A693DFA" w14:textId="49FC4C9A" w:rsidR="00E85344" w:rsidRDefault="00E85344" w:rsidP="00E85344">
      <w:pPr>
        <w:pStyle w:val="Normal2"/>
      </w:pPr>
      <w:r>
        <w:t>Reason for Notice</w:t>
      </w:r>
      <w:r w:rsidR="00674BFC">
        <w:t>s</w:t>
      </w:r>
      <w:r>
        <w:t xml:space="preserve"> to Vacate and Minimum Notice required</w:t>
      </w:r>
    </w:p>
    <w:p w14:paraId="327B9D40" w14:textId="77777777" w:rsidR="00E85344" w:rsidRDefault="00E85344" w:rsidP="00236798">
      <w:pPr>
        <w:pStyle w:val="Norm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316"/>
        <w:gridCol w:w="2703"/>
      </w:tblGrid>
      <w:tr w:rsidR="00E85344" w:rsidRPr="0016365F" w14:paraId="771347FE" w14:textId="77777777" w:rsidTr="00235A68">
        <w:trPr>
          <w:trHeight w:val="340"/>
        </w:trPr>
        <w:tc>
          <w:tcPr>
            <w:tcW w:w="6487" w:type="dxa"/>
            <w:shd w:val="clear" w:color="auto" w:fill="FFFFFF"/>
          </w:tcPr>
          <w:p w14:paraId="4B4C7CC9" w14:textId="77777777" w:rsidR="00E85344" w:rsidRPr="00235A68" w:rsidRDefault="00E85344" w:rsidP="00235A68">
            <w:pPr>
              <w:pStyle w:val="Normal2"/>
              <w:rPr>
                <w:b/>
                <w:bCs/>
              </w:rPr>
            </w:pPr>
            <w:r w:rsidRPr="00235A68">
              <w:rPr>
                <w:b/>
                <w:bCs/>
              </w:rPr>
              <w:t>Reason for notice to vacate before a rental agreement ends</w:t>
            </w:r>
          </w:p>
        </w:tc>
        <w:tc>
          <w:tcPr>
            <w:tcW w:w="2758" w:type="dxa"/>
            <w:shd w:val="clear" w:color="auto" w:fill="FFFFFF"/>
          </w:tcPr>
          <w:p w14:paraId="505C115F" w14:textId="77777777" w:rsidR="00E85344" w:rsidRPr="00235A68" w:rsidRDefault="00E85344" w:rsidP="00235A68">
            <w:pPr>
              <w:pStyle w:val="Normal2"/>
              <w:rPr>
                <w:b/>
                <w:bCs/>
              </w:rPr>
            </w:pPr>
            <w:r w:rsidRPr="00235A68">
              <w:rPr>
                <w:b/>
                <w:bCs/>
              </w:rPr>
              <w:t>Minimum notice required</w:t>
            </w:r>
          </w:p>
        </w:tc>
      </w:tr>
      <w:tr w:rsidR="00E85344" w:rsidRPr="0016365F" w14:paraId="3DD548EE" w14:textId="77777777" w:rsidTr="00235A68">
        <w:trPr>
          <w:trHeight w:val="340"/>
        </w:trPr>
        <w:tc>
          <w:tcPr>
            <w:tcW w:w="6487" w:type="dxa"/>
            <w:shd w:val="clear" w:color="auto" w:fill="FFFFFF"/>
          </w:tcPr>
          <w:p w14:paraId="39BDDD5A" w14:textId="77777777" w:rsidR="00E85344" w:rsidRPr="0016365F" w:rsidRDefault="00E85344" w:rsidP="00235A68">
            <w:pPr>
              <w:pStyle w:val="Normal2"/>
            </w:pPr>
            <w:r w:rsidRPr="0016365F">
              <w:t>The renter or their visitor intentionally or recklessly causes serious damage to the property, including safety equipment and common areas </w:t>
            </w:r>
          </w:p>
        </w:tc>
        <w:tc>
          <w:tcPr>
            <w:tcW w:w="2758" w:type="dxa"/>
            <w:shd w:val="clear" w:color="auto" w:fill="FFFFFF"/>
          </w:tcPr>
          <w:p w14:paraId="43E185C2" w14:textId="77777777" w:rsidR="00E85344" w:rsidRPr="0016365F" w:rsidRDefault="00E85344" w:rsidP="00235A68">
            <w:pPr>
              <w:pStyle w:val="Normal2"/>
            </w:pPr>
            <w:r w:rsidRPr="0016365F">
              <w:t>Immediate</w:t>
            </w:r>
          </w:p>
        </w:tc>
      </w:tr>
      <w:tr w:rsidR="00E85344" w:rsidRPr="0016365F" w14:paraId="7836459C" w14:textId="77777777" w:rsidTr="00235A68">
        <w:trPr>
          <w:trHeight w:val="340"/>
        </w:trPr>
        <w:tc>
          <w:tcPr>
            <w:tcW w:w="6487" w:type="dxa"/>
            <w:shd w:val="clear" w:color="auto" w:fill="FFFFFF"/>
          </w:tcPr>
          <w:p w14:paraId="3A5BAA0E" w14:textId="77777777" w:rsidR="00E85344" w:rsidRPr="0016365F" w:rsidRDefault="00E85344" w:rsidP="00235A68">
            <w:pPr>
              <w:pStyle w:val="Normal2"/>
            </w:pPr>
            <w:r w:rsidRPr="0016365F">
              <w:t>The renter or their visitor puts neighbours, the rental provider or the provider's agent, or the rental provider or agent’s contractors or employees, in danger</w:t>
            </w:r>
          </w:p>
        </w:tc>
        <w:tc>
          <w:tcPr>
            <w:tcW w:w="2758" w:type="dxa"/>
            <w:shd w:val="clear" w:color="auto" w:fill="FFFFFF"/>
          </w:tcPr>
          <w:p w14:paraId="69979B86" w14:textId="77777777" w:rsidR="00E85344" w:rsidRPr="0016365F" w:rsidRDefault="00E85344" w:rsidP="00235A68">
            <w:pPr>
              <w:pStyle w:val="Normal2"/>
            </w:pPr>
            <w:r w:rsidRPr="0016365F">
              <w:t>Immediate</w:t>
            </w:r>
          </w:p>
        </w:tc>
      </w:tr>
      <w:tr w:rsidR="00E85344" w:rsidRPr="0016365F" w14:paraId="6422ECD6" w14:textId="77777777" w:rsidTr="00235A68">
        <w:trPr>
          <w:trHeight w:val="340"/>
        </w:trPr>
        <w:tc>
          <w:tcPr>
            <w:tcW w:w="6487" w:type="dxa"/>
            <w:shd w:val="clear" w:color="auto" w:fill="FFFFFF"/>
          </w:tcPr>
          <w:p w14:paraId="55195B05" w14:textId="77777777" w:rsidR="00E85344" w:rsidRPr="0016365F" w:rsidRDefault="00E85344" w:rsidP="00235A68">
            <w:pPr>
              <w:pStyle w:val="Normal2"/>
            </w:pPr>
            <w:r w:rsidRPr="0016365F">
              <w:t>The premises are unfit for human habitation, destroyed totally, or destroyed to the extent that they are unsafe</w:t>
            </w:r>
          </w:p>
        </w:tc>
        <w:tc>
          <w:tcPr>
            <w:tcW w:w="2758" w:type="dxa"/>
            <w:shd w:val="clear" w:color="auto" w:fill="FFFFFF"/>
          </w:tcPr>
          <w:p w14:paraId="48C5B7A4" w14:textId="77777777" w:rsidR="00E85344" w:rsidRPr="0016365F" w:rsidRDefault="00E85344" w:rsidP="00235A68">
            <w:pPr>
              <w:pStyle w:val="Normal2"/>
            </w:pPr>
            <w:r w:rsidRPr="0016365F">
              <w:t>Immediate</w:t>
            </w:r>
          </w:p>
        </w:tc>
      </w:tr>
      <w:tr w:rsidR="00E85344" w:rsidRPr="0016365F" w14:paraId="6736D9A7" w14:textId="77777777" w:rsidTr="00235A68">
        <w:trPr>
          <w:trHeight w:val="340"/>
        </w:trPr>
        <w:tc>
          <w:tcPr>
            <w:tcW w:w="6487" w:type="dxa"/>
            <w:shd w:val="clear" w:color="auto" w:fill="FFFFFF"/>
          </w:tcPr>
          <w:p w14:paraId="2AE4BAEA" w14:textId="77777777" w:rsidR="00E85344" w:rsidRPr="0016365F" w:rsidRDefault="00E85344" w:rsidP="00235A68">
            <w:pPr>
              <w:pStyle w:val="Normal2"/>
            </w:pPr>
            <w:r w:rsidRPr="0016365F">
              <w:t>The renter or anyone else living in the rental property seriously threatens or intimidates the rental provider, their agent, or the rental provider or agent’s contractors or employees</w:t>
            </w:r>
          </w:p>
        </w:tc>
        <w:tc>
          <w:tcPr>
            <w:tcW w:w="2758" w:type="dxa"/>
            <w:shd w:val="clear" w:color="auto" w:fill="FFFFFF"/>
          </w:tcPr>
          <w:p w14:paraId="23E36F70" w14:textId="77777777" w:rsidR="00E85344" w:rsidRPr="0016365F" w:rsidRDefault="00E85344" w:rsidP="00235A68">
            <w:pPr>
              <w:pStyle w:val="Normal2"/>
            </w:pPr>
            <w:r w:rsidRPr="0016365F">
              <w:t>14 days</w:t>
            </w:r>
          </w:p>
        </w:tc>
      </w:tr>
      <w:tr w:rsidR="00E85344" w:rsidRPr="0016365F" w14:paraId="3171F3CF" w14:textId="77777777" w:rsidTr="00235A68">
        <w:trPr>
          <w:trHeight w:val="340"/>
        </w:trPr>
        <w:tc>
          <w:tcPr>
            <w:tcW w:w="6487" w:type="dxa"/>
            <w:shd w:val="clear" w:color="auto" w:fill="FFFFFF"/>
          </w:tcPr>
          <w:p w14:paraId="3E48BDD3" w14:textId="77777777" w:rsidR="00E85344" w:rsidRPr="0016365F" w:rsidRDefault="00E85344" w:rsidP="00235A68">
            <w:pPr>
              <w:pStyle w:val="Normal2"/>
            </w:pPr>
            <w:r w:rsidRPr="0016365F">
              <w:t>The renter owes at least 14 days rent</w:t>
            </w:r>
          </w:p>
        </w:tc>
        <w:tc>
          <w:tcPr>
            <w:tcW w:w="2758" w:type="dxa"/>
            <w:shd w:val="clear" w:color="auto" w:fill="FFFFFF"/>
          </w:tcPr>
          <w:p w14:paraId="07A71F8C" w14:textId="77777777" w:rsidR="00E85344" w:rsidRPr="0016365F" w:rsidRDefault="00E85344" w:rsidP="00235A68">
            <w:pPr>
              <w:pStyle w:val="Normal2"/>
            </w:pPr>
            <w:r w:rsidRPr="0016365F">
              <w:t>14 days</w:t>
            </w:r>
          </w:p>
        </w:tc>
      </w:tr>
      <w:tr w:rsidR="00E85344" w:rsidRPr="0016365F" w14:paraId="30AA791F" w14:textId="77777777" w:rsidTr="00235A68">
        <w:trPr>
          <w:trHeight w:val="340"/>
        </w:trPr>
        <w:tc>
          <w:tcPr>
            <w:tcW w:w="6487" w:type="dxa"/>
            <w:shd w:val="clear" w:color="auto" w:fill="FFFFFF"/>
          </w:tcPr>
          <w:p w14:paraId="7BA31DA5" w14:textId="77777777" w:rsidR="00E85344" w:rsidRPr="0016365F" w:rsidRDefault="00E85344" w:rsidP="00235A68">
            <w:pPr>
              <w:pStyle w:val="Normal2"/>
            </w:pPr>
            <w:r w:rsidRPr="0016365F">
              <w:t>The renter has failed to comply with a VCAT compliance order</w:t>
            </w:r>
          </w:p>
        </w:tc>
        <w:tc>
          <w:tcPr>
            <w:tcW w:w="2758" w:type="dxa"/>
            <w:shd w:val="clear" w:color="auto" w:fill="FFFFFF"/>
          </w:tcPr>
          <w:p w14:paraId="3BB52DCA" w14:textId="77777777" w:rsidR="00E85344" w:rsidRPr="0016365F" w:rsidRDefault="00E85344" w:rsidP="00235A68">
            <w:pPr>
              <w:pStyle w:val="Normal2"/>
            </w:pPr>
            <w:r w:rsidRPr="0016365F">
              <w:t>14 days</w:t>
            </w:r>
          </w:p>
        </w:tc>
      </w:tr>
      <w:tr w:rsidR="00E85344" w:rsidRPr="0016365F" w14:paraId="61FCDF25" w14:textId="77777777" w:rsidTr="00235A68">
        <w:trPr>
          <w:trHeight w:val="340"/>
        </w:trPr>
        <w:tc>
          <w:tcPr>
            <w:tcW w:w="6487" w:type="dxa"/>
            <w:shd w:val="clear" w:color="auto" w:fill="FFFFFF"/>
          </w:tcPr>
          <w:p w14:paraId="16F572D4" w14:textId="77777777" w:rsidR="00E85344" w:rsidRPr="0016365F" w:rsidRDefault="00E85344" w:rsidP="00235A68">
            <w:pPr>
              <w:pStyle w:val="Normal2"/>
            </w:pPr>
            <w:r w:rsidRPr="0016365F">
              <w:t>The renter has already been given 2 breach of duty notices and the same breach occurs</w:t>
            </w:r>
          </w:p>
        </w:tc>
        <w:tc>
          <w:tcPr>
            <w:tcW w:w="2758" w:type="dxa"/>
            <w:shd w:val="clear" w:color="auto" w:fill="FFFFFF"/>
          </w:tcPr>
          <w:p w14:paraId="6142FD50" w14:textId="77777777" w:rsidR="00E85344" w:rsidRPr="0016365F" w:rsidRDefault="00E85344" w:rsidP="00235A68">
            <w:pPr>
              <w:pStyle w:val="Normal2"/>
            </w:pPr>
            <w:r w:rsidRPr="0016365F">
              <w:t>14 days</w:t>
            </w:r>
          </w:p>
        </w:tc>
      </w:tr>
      <w:tr w:rsidR="00E85344" w:rsidRPr="0016365F" w14:paraId="14BD17AB" w14:textId="77777777" w:rsidTr="00235A68">
        <w:trPr>
          <w:trHeight w:val="340"/>
        </w:trPr>
        <w:tc>
          <w:tcPr>
            <w:tcW w:w="6487" w:type="dxa"/>
            <w:shd w:val="clear" w:color="auto" w:fill="FFFFFF"/>
          </w:tcPr>
          <w:p w14:paraId="3D097CA9" w14:textId="77777777" w:rsidR="00E85344" w:rsidRPr="0016365F" w:rsidRDefault="00E85344" w:rsidP="00235A68">
            <w:pPr>
              <w:pStyle w:val="Normal2"/>
            </w:pPr>
            <w:r w:rsidRPr="0016365F">
              <w:t>The property is being used for illegal purposes</w:t>
            </w:r>
          </w:p>
        </w:tc>
        <w:tc>
          <w:tcPr>
            <w:tcW w:w="2758" w:type="dxa"/>
            <w:shd w:val="clear" w:color="auto" w:fill="FFFFFF"/>
          </w:tcPr>
          <w:p w14:paraId="300040A7" w14:textId="77777777" w:rsidR="00E85344" w:rsidRPr="0016365F" w:rsidRDefault="00E85344" w:rsidP="00235A68">
            <w:pPr>
              <w:pStyle w:val="Normal2"/>
            </w:pPr>
            <w:r w:rsidRPr="0016365F">
              <w:t>14 days</w:t>
            </w:r>
          </w:p>
        </w:tc>
      </w:tr>
      <w:tr w:rsidR="00E85344" w:rsidRPr="0016365F" w14:paraId="5D3D7636" w14:textId="77777777" w:rsidTr="00235A68">
        <w:trPr>
          <w:trHeight w:val="340"/>
        </w:trPr>
        <w:tc>
          <w:tcPr>
            <w:tcW w:w="6487" w:type="dxa"/>
            <w:shd w:val="clear" w:color="auto" w:fill="FFFFFF"/>
          </w:tcPr>
          <w:p w14:paraId="3541BC29" w14:textId="77777777" w:rsidR="00E85344" w:rsidRPr="0016365F" w:rsidRDefault="00E85344" w:rsidP="00235A68">
            <w:pPr>
              <w:pStyle w:val="Normal2"/>
            </w:pPr>
            <w:r w:rsidRPr="0016365F">
              <w:t>The renter has brought in other renters or sub-letters without consent</w:t>
            </w:r>
          </w:p>
        </w:tc>
        <w:tc>
          <w:tcPr>
            <w:tcW w:w="2758" w:type="dxa"/>
            <w:shd w:val="clear" w:color="auto" w:fill="FFFFFF"/>
          </w:tcPr>
          <w:p w14:paraId="35DC3DD9" w14:textId="77777777" w:rsidR="00E85344" w:rsidRPr="0016365F" w:rsidRDefault="00E85344" w:rsidP="00235A68">
            <w:pPr>
              <w:pStyle w:val="Normal2"/>
            </w:pPr>
            <w:r w:rsidRPr="0016365F">
              <w:t>14 days</w:t>
            </w:r>
          </w:p>
        </w:tc>
      </w:tr>
      <w:tr w:rsidR="00E85344" w:rsidRPr="0016365F" w14:paraId="1CAE42B8" w14:textId="77777777" w:rsidTr="00235A68">
        <w:trPr>
          <w:trHeight w:val="340"/>
        </w:trPr>
        <w:tc>
          <w:tcPr>
            <w:tcW w:w="6487" w:type="dxa"/>
            <w:shd w:val="clear" w:color="auto" w:fill="FFFFFF"/>
          </w:tcPr>
          <w:p w14:paraId="19ECE14B" w14:textId="77777777" w:rsidR="00E85344" w:rsidRPr="0016365F" w:rsidRDefault="00E85344" w:rsidP="00235A68">
            <w:pPr>
              <w:pStyle w:val="Normal2"/>
            </w:pPr>
            <w:r w:rsidRPr="0016365F">
              <w:t>The renter has not paid the bond as agreed</w:t>
            </w:r>
          </w:p>
        </w:tc>
        <w:tc>
          <w:tcPr>
            <w:tcW w:w="2758" w:type="dxa"/>
            <w:shd w:val="clear" w:color="auto" w:fill="FFFFFF"/>
          </w:tcPr>
          <w:p w14:paraId="2F8BAE66" w14:textId="77777777" w:rsidR="00E85344" w:rsidRPr="0016365F" w:rsidRDefault="00E85344" w:rsidP="00235A68">
            <w:pPr>
              <w:pStyle w:val="Normal2"/>
            </w:pPr>
            <w:r w:rsidRPr="0016365F">
              <w:t>14 days</w:t>
            </w:r>
          </w:p>
        </w:tc>
      </w:tr>
      <w:tr w:rsidR="00E85344" w:rsidRPr="0016365F" w14:paraId="4B8A240E" w14:textId="77777777" w:rsidTr="00235A68">
        <w:trPr>
          <w:trHeight w:val="340"/>
        </w:trPr>
        <w:tc>
          <w:tcPr>
            <w:tcW w:w="6487" w:type="dxa"/>
            <w:shd w:val="clear" w:color="auto" w:fill="FFFFFF"/>
          </w:tcPr>
          <w:p w14:paraId="64424124" w14:textId="77777777" w:rsidR="00E85344" w:rsidRPr="0016365F" w:rsidRDefault="00E85344" w:rsidP="00235A68">
            <w:pPr>
              <w:pStyle w:val="Normal2"/>
            </w:pPr>
            <w:r w:rsidRPr="0016365F">
              <w:t>The renter has a child under 16 years of age living at the premises when the rental agreement says this is not allowed</w:t>
            </w:r>
          </w:p>
        </w:tc>
        <w:tc>
          <w:tcPr>
            <w:tcW w:w="2758" w:type="dxa"/>
            <w:shd w:val="clear" w:color="auto" w:fill="FFFFFF"/>
          </w:tcPr>
          <w:p w14:paraId="5CC9FA09" w14:textId="77777777" w:rsidR="00E85344" w:rsidRPr="0016365F" w:rsidRDefault="00E85344" w:rsidP="00235A68">
            <w:pPr>
              <w:pStyle w:val="Normal2"/>
            </w:pPr>
            <w:r w:rsidRPr="0016365F">
              <w:t>14 days</w:t>
            </w:r>
          </w:p>
        </w:tc>
      </w:tr>
      <w:tr w:rsidR="00E85344" w:rsidRPr="0016365F" w14:paraId="7C0E98E3" w14:textId="77777777" w:rsidTr="00235A68">
        <w:trPr>
          <w:trHeight w:val="340"/>
        </w:trPr>
        <w:tc>
          <w:tcPr>
            <w:tcW w:w="6487" w:type="dxa"/>
            <w:shd w:val="clear" w:color="auto" w:fill="FFFFFF"/>
          </w:tcPr>
          <w:p w14:paraId="0D95FF6F" w14:textId="77777777" w:rsidR="00E85344" w:rsidRPr="0016365F" w:rsidRDefault="00E85344" w:rsidP="00235A68">
            <w:pPr>
              <w:pStyle w:val="Normal2"/>
            </w:pPr>
            <w:r w:rsidRPr="0016365F">
              <w:t xml:space="preserve">The rental provider is a government housing </w:t>
            </w:r>
            <w:proofErr w:type="gramStart"/>
            <w:r w:rsidRPr="0016365F">
              <w:t>authority</w:t>
            </w:r>
            <w:proofErr w:type="gramEnd"/>
            <w:r w:rsidRPr="0016365F">
              <w:t xml:space="preserve"> and the renter misled the authority so they could get social housing</w:t>
            </w:r>
          </w:p>
        </w:tc>
        <w:tc>
          <w:tcPr>
            <w:tcW w:w="2758" w:type="dxa"/>
            <w:shd w:val="clear" w:color="auto" w:fill="FFFFFF"/>
          </w:tcPr>
          <w:p w14:paraId="4E7510B4" w14:textId="77777777" w:rsidR="00E85344" w:rsidRPr="0016365F" w:rsidRDefault="00E85344" w:rsidP="00235A68">
            <w:pPr>
              <w:pStyle w:val="Normal2"/>
            </w:pPr>
            <w:r w:rsidRPr="0016365F">
              <w:t>14 days</w:t>
            </w:r>
          </w:p>
        </w:tc>
      </w:tr>
      <w:tr w:rsidR="00E85344" w:rsidRPr="0016365F" w14:paraId="387A47C6" w14:textId="77777777" w:rsidTr="00235A68">
        <w:trPr>
          <w:trHeight w:val="340"/>
        </w:trPr>
        <w:tc>
          <w:tcPr>
            <w:tcW w:w="6487" w:type="dxa"/>
            <w:shd w:val="clear" w:color="auto" w:fill="FFFFFF"/>
          </w:tcPr>
          <w:p w14:paraId="570C31F4" w14:textId="77777777" w:rsidR="00E85344" w:rsidRPr="0016365F" w:rsidRDefault="00E85344" w:rsidP="00235A68">
            <w:pPr>
              <w:pStyle w:val="Normal2"/>
            </w:pPr>
            <w:r w:rsidRPr="0016365F">
              <w:t>The renter has been involved in a drug-related activity in public housing</w:t>
            </w:r>
          </w:p>
        </w:tc>
        <w:tc>
          <w:tcPr>
            <w:tcW w:w="2758" w:type="dxa"/>
            <w:shd w:val="clear" w:color="auto" w:fill="FFFFFF"/>
          </w:tcPr>
          <w:p w14:paraId="09E5304A" w14:textId="77777777" w:rsidR="00E85344" w:rsidRPr="0016365F" w:rsidRDefault="00E85344" w:rsidP="00235A68">
            <w:pPr>
              <w:pStyle w:val="Normal2"/>
            </w:pPr>
            <w:r w:rsidRPr="0016365F">
              <w:t>14 days</w:t>
            </w:r>
          </w:p>
        </w:tc>
      </w:tr>
      <w:tr w:rsidR="00E85344" w:rsidRPr="0016365F" w14:paraId="265853B2" w14:textId="77777777" w:rsidTr="00235A68">
        <w:trPr>
          <w:trHeight w:val="340"/>
        </w:trPr>
        <w:tc>
          <w:tcPr>
            <w:tcW w:w="6487" w:type="dxa"/>
            <w:shd w:val="clear" w:color="auto" w:fill="FFFFFF"/>
          </w:tcPr>
          <w:p w14:paraId="462035F2" w14:textId="77777777" w:rsidR="00E85344" w:rsidRPr="0016365F" w:rsidRDefault="00E85344" w:rsidP="00235A68">
            <w:pPr>
              <w:pStyle w:val="Normal2"/>
            </w:pPr>
            <w:r w:rsidRPr="0016365F">
              <w:t>The renter is keeping a pet without consent and VCAT has made an order excluding the pet</w:t>
            </w:r>
          </w:p>
        </w:tc>
        <w:tc>
          <w:tcPr>
            <w:tcW w:w="2758" w:type="dxa"/>
            <w:shd w:val="clear" w:color="auto" w:fill="FFFFFF"/>
          </w:tcPr>
          <w:p w14:paraId="5CC25589" w14:textId="77777777" w:rsidR="00E85344" w:rsidRPr="0016365F" w:rsidRDefault="00E85344" w:rsidP="00235A68">
            <w:pPr>
              <w:pStyle w:val="Normal2"/>
            </w:pPr>
            <w:r w:rsidRPr="0016365F">
              <w:t>28 days</w:t>
            </w:r>
          </w:p>
        </w:tc>
      </w:tr>
      <w:tr w:rsidR="006C5A38" w:rsidRPr="0016365F" w14:paraId="5499A015" w14:textId="77777777" w:rsidTr="00235A68">
        <w:trPr>
          <w:trHeight w:val="340"/>
        </w:trPr>
        <w:tc>
          <w:tcPr>
            <w:tcW w:w="6487" w:type="dxa"/>
            <w:shd w:val="clear" w:color="auto" w:fill="FFFFFF"/>
          </w:tcPr>
          <w:p w14:paraId="2A82ADF8" w14:textId="39E374BD" w:rsidR="006C5A38" w:rsidRPr="0016365F" w:rsidRDefault="0064110E" w:rsidP="00235A68">
            <w:pPr>
              <w:pStyle w:val="Normal2"/>
            </w:pPr>
            <w:r>
              <w:t>The rental provider is planning to move in at the end of the fixed-term rental agreement</w:t>
            </w:r>
          </w:p>
        </w:tc>
        <w:tc>
          <w:tcPr>
            <w:tcW w:w="2758" w:type="dxa"/>
            <w:shd w:val="clear" w:color="auto" w:fill="FFFFFF"/>
          </w:tcPr>
          <w:p w14:paraId="7258D2BD" w14:textId="755EFFD0" w:rsidR="006C5A38" w:rsidRPr="0016365F" w:rsidRDefault="0064110E" w:rsidP="00235A68">
            <w:pPr>
              <w:pStyle w:val="Normal2"/>
            </w:pPr>
            <w:r>
              <w:t>14 days</w:t>
            </w:r>
          </w:p>
        </w:tc>
      </w:tr>
      <w:tr w:rsidR="006C5A38" w:rsidRPr="0016365F" w14:paraId="103F406C" w14:textId="77777777" w:rsidTr="00235A68">
        <w:trPr>
          <w:trHeight w:val="340"/>
        </w:trPr>
        <w:tc>
          <w:tcPr>
            <w:tcW w:w="6487" w:type="dxa"/>
            <w:shd w:val="clear" w:color="auto" w:fill="FFFFFF"/>
          </w:tcPr>
          <w:p w14:paraId="249F368C" w14:textId="1293A939" w:rsidR="006C5A38" w:rsidRPr="0016365F" w:rsidRDefault="0064110E" w:rsidP="00235A68">
            <w:pPr>
              <w:pStyle w:val="Normal2"/>
            </w:pPr>
            <w:r>
              <w:lastRenderedPageBreak/>
              <w:t>Reconstruction, repairs or renovations are planned and cannot go ahead unless the renter vacates</w:t>
            </w:r>
          </w:p>
        </w:tc>
        <w:tc>
          <w:tcPr>
            <w:tcW w:w="2758" w:type="dxa"/>
            <w:shd w:val="clear" w:color="auto" w:fill="FFFFFF"/>
          </w:tcPr>
          <w:p w14:paraId="0AFC6870" w14:textId="084BFF70" w:rsidR="006C5A38" w:rsidRPr="0016365F" w:rsidRDefault="0064110E" w:rsidP="00235A68">
            <w:pPr>
              <w:pStyle w:val="Normal2"/>
            </w:pPr>
            <w:r>
              <w:t>60 days</w:t>
            </w:r>
          </w:p>
        </w:tc>
      </w:tr>
      <w:tr w:rsidR="006C5A38" w:rsidRPr="0016365F" w14:paraId="1660B649" w14:textId="77777777" w:rsidTr="00235A68">
        <w:trPr>
          <w:trHeight w:val="340"/>
        </w:trPr>
        <w:tc>
          <w:tcPr>
            <w:tcW w:w="6487" w:type="dxa"/>
            <w:shd w:val="clear" w:color="auto" w:fill="FFFFFF"/>
          </w:tcPr>
          <w:p w14:paraId="65971765" w14:textId="19E07B64" w:rsidR="006C5A38" w:rsidRPr="0016365F" w:rsidRDefault="0064110E" w:rsidP="00235A68">
            <w:pPr>
              <w:pStyle w:val="Normal2"/>
            </w:pPr>
            <w:r>
              <w:t xml:space="preserve">The rental property is going to be </w:t>
            </w:r>
            <w:proofErr w:type="gramStart"/>
            <w:r>
              <w:t>demolished</w:t>
            </w:r>
            <w:proofErr w:type="gramEnd"/>
            <w:r>
              <w:t xml:space="preserve"> and all necessary permits have been obtained</w:t>
            </w:r>
          </w:p>
        </w:tc>
        <w:tc>
          <w:tcPr>
            <w:tcW w:w="2758" w:type="dxa"/>
            <w:shd w:val="clear" w:color="auto" w:fill="FFFFFF"/>
          </w:tcPr>
          <w:p w14:paraId="70696551" w14:textId="786A202A" w:rsidR="006C5A38" w:rsidRPr="0016365F" w:rsidRDefault="0064110E" w:rsidP="00235A68">
            <w:pPr>
              <w:pStyle w:val="Normal2"/>
            </w:pPr>
            <w:r>
              <w:t>60 days</w:t>
            </w:r>
          </w:p>
        </w:tc>
      </w:tr>
      <w:tr w:rsidR="006C5A38" w:rsidRPr="0016365F" w14:paraId="5DB41C67" w14:textId="77777777" w:rsidTr="00235A68">
        <w:trPr>
          <w:trHeight w:val="340"/>
        </w:trPr>
        <w:tc>
          <w:tcPr>
            <w:tcW w:w="6487" w:type="dxa"/>
            <w:shd w:val="clear" w:color="auto" w:fill="FFFFFF"/>
          </w:tcPr>
          <w:p w14:paraId="173DCAB1" w14:textId="0FF1B232" w:rsidR="006C5A38" w:rsidRPr="0016365F" w:rsidRDefault="0064110E" w:rsidP="00235A68">
            <w:pPr>
              <w:pStyle w:val="Normal2"/>
            </w:pPr>
            <w:r>
              <w:t>The rental provider wants to do something else with the property (e.g., use it for a business)</w:t>
            </w:r>
          </w:p>
        </w:tc>
        <w:tc>
          <w:tcPr>
            <w:tcW w:w="2758" w:type="dxa"/>
            <w:shd w:val="clear" w:color="auto" w:fill="FFFFFF"/>
          </w:tcPr>
          <w:p w14:paraId="3895964F" w14:textId="40C315A5" w:rsidR="006C5A38" w:rsidRPr="0016365F" w:rsidRDefault="0064110E" w:rsidP="00235A68">
            <w:pPr>
              <w:pStyle w:val="Normal2"/>
            </w:pPr>
            <w:r>
              <w:t>60 days</w:t>
            </w:r>
          </w:p>
        </w:tc>
      </w:tr>
      <w:tr w:rsidR="006C5A38" w:rsidRPr="0016365F" w14:paraId="24A8233A" w14:textId="77777777" w:rsidTr="00235A68">
        <w:trPr>
          <w:trHeight w:val="340"/>
        </w:trPr>
        <w:tc>
          <w:tcPr>
            <w:tcW w:w="6487" w:type="dxa"/>
            <w:shd w:val="clear" w:color="auto" w:fill="FFFFFF"/>
          </w:tcPr>
          <w:p w14:paraId="61B2951A" w14:textId="732861ED" w:rsidR="006C5A38" w:rsidRPr="0016365F" w:rsidRDefault="0064110E" w:rsidP="00235A68">
            <w:pPr>
              <w:pStyle w:val="Normal2"/>
            </w:pPr>
            <w:r>
              <w:t>The rental provider, a member of their immediate family or a dependent will be moving in</w:t>
            </w:r>
          </w:p>
        </w:tc>
        <w:tc>
          <w:tcPr>
            <w:tcW w:w="2758" w:type="dxa"/>
            <w:shd w:val="clear" w:color="auto" w:fill="FFFFFF"/>
          </w:tcPr>
          <w:p w14:paraId="1B0EDFB0" w14:textId="7F57E554" w:rsidR="006C5A38" w:rsidRPr="0016365F" w:rsidRDefault="0064110E" w:rsidP="00235A68">
            <w:pPr>
              <w:pStyle w:val="Normal2"/>
            </w:pPr>
            <w:r>
              <w:t>60 days</w:t>
            </w:r>
          </w:p>
        </w:tc>
      </w:tr>
      <w:tr w:rsidR="006C5A38" w:rsidRPr="0016365F" w14:paraId="04500E59" w14:textId="77777777" w:rsidTr="00235A68">
        <w:trPr>
          <w:trHeight w:val="340"/>
        </w:trPr>
        <w:tc>
          <w:tcPr>
            <w:tcW w:w="6487" w:type="dxa"/>
            <w:shd w:val="clear" w:color="auto" w:fill="FFFFFF"/>
          </w:tcPr>
          <w:p w14:paraId="615C3C10" w14:textId="52CCEE99" w:rsidR="006C5A38" w:rsidRPr="0016365F" w:rsidRDefault="0064110E" w:rsidP="00235A68">
            <w:pPr>
              <w:pStyle w:val="Normal2"/>
            </w:pPr>
            <w:r>
              <w:t>The property is to be sold or put up for sale</w:t>
            </w:r>
          </w:p>
        </w:tc>
        <w:tc>
          <w:tcPr>
            <w:tcW w:w="2758" w:type="dxa"/>
            <w:shd w:val="clear" w:color="auto" w:fill="FFFFFF"/>
          </w:tcPr>
          <w:p w14:paraId="2A792368" w14:textId="0A5E556A" w:rsidR="006C5A38" w:rsidRPr="0016365F" w:rsidRDefault="0064110E" w:rsidP="00235A68">
            <w:pPr>
              <w:pStyle w:val="Normal2"/>
            </w:pPr>
            <w:r>
              <w:t>60 days</w:t>
            </w:r>
          </w:p>
        </w:tc>
      </w:tr>
      <w:bookmarkEnd w:id="23"/>
    </w:tbl>
    <w:p w14:paraId="258F8EDC" w14:textId="77777777" w:rsidR="00377784" w:rsidRDefault="00377784" w:rsidP="00236798">
      <w:pPr>
        <w:pStyle w:val="Normal2"/>
      </w:pPr>
    </w:p>
    <w:sectPr w:rsidR="00377784" w:rsidSect="00650AF6">
      <w:footerReference w:type="default" r:id="rId11"/>
      <w:headerReference w:type="first" r:id="rId12"/>
      <w:pgSz w:w="11909" w:h="16834" w:code="9"/>
      <w:pgMar w:top="1440" w:right="1440" w:bottom="1440" w:left="1440" w:header="0" w:footer="57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EF2A" w14:textId="77777777" w:rsidR="00235A68" w:rsidRDefault="00235A68">
      <w:r>
        <w:separator/>
      </w:r>
    </w:p>
  </w:endnote>
  <w:endnote w:type="continuationSeparator" w:id="0">
    <w:p w14:paraId="3E37EF38" w14:textId="77777777" w:rsidR="00235A68" w:rsidRDefault="00235A68">
      <w:r>
        <w:continuationSeparator/>
      </w:r>
    </w:p>
  </w:endnote>
  <w:endnote w:type="continuationNotice" w:id="1">
    <w:p w14:paraId="6CEDDAE7" w14:textId="77777777" w:rsidR="000C2FC0" w:rsidRDefault="000C2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Century Schlbk">
    <w:altName w:val="Century Schoolbook"/>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Century BookCon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Zwo Regular LF">
    <w:altName w:val="Zwo Regular LF"/>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06" w:type="pct"/>
      <w:tblInd w:w="108" w:type="dxa"/>
      <w:tblLook w:val="04A0" w:firstRow="1" w:lastRow="0" w:firstColumn="1" w:lastColumn="0" w:noHBand="0" w:noVBand="1"/>
    </w:tblPr>
    <w:tblGrid>
      <w:gridCol w:w="4984"/>
      <w:gridCol w:w="3875"/>
    </w:tblGrid>
    <w:tr w:rsidR="00594A9D" w:rsidRPr="00E67775" w14:paraId="6DB7919B" w14:textId="77777777" w:rsidTr="008F611D">
      <w:tc>
        <w:tcPr>
          <w:tcW w:w="2813" w:type="pct"/>
        </w:tcPr>
        <w:p w14:paraId="47FC3F3B" w14:textId="19611D4F" w:rsidR="00DE39F1" w:rsidRPr="00E85344" w:rsidRDefault="00E85344" w:rsidP="00622F02">
          <w:pPr>
            <w:pStyle w:val="Footer"/>
            <w:ind w:left="0"/>
            <w:rPr>
              <w:rStyle w:val="PageNumber"/>
              <w:rFonts w:ascii="Calibri" w:eastAsia="Arial Unicode MS" w:hAnsi="Calibri" w:cs="Calibri"/>
              <w:sz w:val="16"/>
              <w:szCs w:val="16"/>
            </w:rPr>
          </w:pPr>
          <w:r w:rsidRPr="00E85344">
            <w:rPr>
              <w:rFonts w:ascii="Calibri" w:eastAsia="Arial Unicode MS" w:hAnsi="Calibri" w:cs="Calibri"/>
              <w:sz w:val="16"/>
              <w:szCs w:val="16"/>
            </w:rPr>
            <w:t>Ending Tenancies</w:t>
          </w:r>
          <w:r w:rsidR="00650AF6">
            <w:rPr>
              <w:rFonts w:ascii="Calibri" w:eastAsia="Arial Unicode MS" w:hAnsi="Calibri" w:cs="Calibri"/>
              <w:sz w:val="16"/>
              <w:szCs w:val="16"/>
            </w:rPr>
            <w:t xml:space="preserve"> Policy</w:t>
          </w:r>
        </w:p>
      </w:tc>
      <w:tc>
        <w:tcPr>
          <w:tcW w:w="2187" w:type="pct"/>
        </w:tcPr>
        <w:p w14:paraId="3312A7AE" w14:textId="77777777" w:rsidR="00594A9D" w:rsidRPr="00E67775" w:rsidRDefault="00594A9D" w:rsidP="008F611D">
          <w:pPr>
            <w:pStyle w:val="Footer"/>
            <w:tabs>
              <w:tab w:val="left" w:pos="3606"/>
              <w:tab w:val="center" w:pos="3969"/>
            </w:tabs>
            <w:ind w:left="0"/>
            <w:jc w:val="right"/>
            <w:rPr>
              <w:rStyle w:val="PageNumber"/>
              <w:rFonts w:ascii="Calibri" w:hAnsi="Calibri" w:cs="Calibri"/>
              <w:sz w:val="16"/>
              <w:szCs w:val="16"/>
            </w:rPr>
          </w:pPr>
          <w:r w:rsidRPr="00E67775">
            <w:rPr>
              <w:rFonts w:ascii="Calibri" w:hAnsi="Calibri"/>
              <w:sz w:val="16"/>
              <w:szCs w:val="16"/>
            </w:rPr>
            <w:t>Page</w:t>
          </w:r>
          <w:r>
            <w:rPr>
              <w:rFonts w:ascii="Calibri" w:hAnsi="Calibri"/>
              <w:sz w:val="16"/>
              <w:szCs w:val="16"/>
            </w:rPr>
            <w:t xml:space="preserve"> </w:t>
          </w:r>
          <w:r w:rsidRPr="00E67775">
            <w:rPr>
              <w:rFonts w:ascii="Calibri" w:hAnsi="Calibri"/>
              <w:b/>
              <w:sz w:val="16"/>
              <w:szCs w:val="16"/>
            </w:rPr>
            <w:fldChar w:fldCharType="begin"/>
          </w:r>
          <w:r w:rsidRPr="00E67775">
            <w:rPr>
              <w:rFonts w:ascii="Calibri" w:hAnsi="Calibri"/>
              <w:b/>
              <w:sz w:val="16"/>
              <w:szCs w:val="16"/>
            </w:rPr>
            <w:instrText xml:space="preserve"> PAGE </w:instrText>
          </w:r>
          <w:r w:rsidRPr="00E67775">
            <w:rPr>
              <w:rFonts w:ascii="Calibri" w:hAnsi="Calibri"/>
              <w:b/>
              <w:sz w:val="16"/>
              <w:szCs w:val="16"/>
            </w:rPr>
            <w:fldChar w:fldCharType="separate"/>
          </w:r>
          <w:r w:rsidR="00C94BF6">
            <w:rPr>
              <w:rFonts w:ascii="Calibri" w:hAnsi="Calibri"/>
              <w:b/>
              <w:noProof/>
              <w:sz w:val="16"/>
              <w:szCs w:val="16"/>
            </w:rPr>
            <w:t>3</w:t>
          </w:r>
          <w:r w:rsidRPr="00E67775">
            <w:rPr>
              <w:rFonts w:ascii="Calibri" w:hAnsi="Calibri"/>
              <w:b/>
              <w:sz w:val="16"/>
              <w:szCs w:val="16"/>
            </w:rPr>
            <w:fldChar w:fldCharType="end"/>
          </w:r>
          <w:r w:rsidRPr="00E67775">
            <w:rPr>
              <w:rFonts w:ascii="Calibri" w:hAnsi="Calibri"/>
              <w:sz w:val="16"/>
              <w:szCs w:val="16"/>
            </w:rPr>
            <w:t xml:space="preserve"> of </w:t>
          </w:r>
          <w:r w:rsidRPr="00E67775">
            <w:rPr>
              <w:rFonts w:ascii="Calibri" w:hAnsi="Calibri"/>
              <w:b/>
              <w:sz w:val="16"/>
              <w:szCs w:val="16"/>
            </w:rPr>
            <w:fldChar w:fldCharType="begin"/>
          </w:r>
          <w:r w:rsidRPr="00E67775">
            <w:rPr>
              <w:rFonts w:ascii="Calibri" w:hAnsi="Calibri"/>
              <w:b/>
              <w:sz w:val="16"/>
              <w:szCs w:val="16"/>
            </w:rPr>
            <w:instrText xml:space="preserve"> NUMPAGES  </w:instrText>
          </w:r>
          <w:r w:rsidRPr="00E67775">
            <w:rPr>
              <w:rFonts w:ascii="Calibri" w:hAnsi="Calibri"/>
              <w:b/>
              <w:sz w:val="16"/>
              <w:szCs w:val="16"/>
            </w:rPr>
            <w:fldChar w:fldCharType="separate"/>
          </w:r>
          <w:r w:rsidR="00C94BF6">
            <w:rPr>
              <w:rFonts w:ascii="Calibri" w:hAnsi="Calibri"/>
              <w:b/>
              <w:noProof/>
              <w:sz w:val="16"/>
              <w:szCs w:val="16"/>
            </w:rPr>
            <w:t>7</w:t>
          </w:r>
          <w:r w:rsidRPr="00E67775">
            <w:rPr>
              <w:rFonts w:ascii="Calibri" w:hAnsi="Calibri"/>
              <w:b/>
              <w:sz w:val="16"/>
              <w:szCs w:val="16"/>
            </w:rPr>
            <w:fldChar w:fldCharType="end"/>
          </w:r>
        </w:p>
      </w:tc>
    </w:tr>
  </w:tbl>
  <w:p w14:paraId="3659C784" w14:textId="77777777" w:rsidR="00594A9D" w:rsidRDefault="00594A9D" w:rsidP="006412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BDB0" w14:textId="77777777" w:rsidR="00235A68" w:rsidRDefault="00235A68">
      <w:r>
        <w:separator/>
      </w:r>
    </w:p>
  </w:footnote>
  <w:footnote w:type="continuationSeparator" w:id="0">
    <w:p w14:paraId="0A25B27A" w14:textId="77777777" w:rsidR="00235A68" w:rsidRDefault="00235A68">
      <w:r>
        <w:continuationSeparator/>
      </w:r>
    </w:p>
  </w:footnote>
  <w:footnote w:type="continuationNotice" w:id="1">
    <w:p w14:paraId="434F89B0" w14:textId="77777777" w:rsidR="000C2FC0" w:rsidRDefault="000C2F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6A6B" w14:textId="77777777" w:rsidR="003C72FE" w:rsidRPr="003C72FE" w:rsidRDefault="003C72FE" w:rsidP="003C72FE">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2" type="#_x0000_t75" style="width:9.35pt;height:9.35pt" o:bullet="t">
        <v:imagedata r:id="rId1" o:title="j0115844"/>
      </v:shape>
    </w:pict>
  </w:numPicBullet>
  <w:abstractNum w:abstractNumId="0" w15:restartNumberingAfterBreak="0">
    <w:nsid w:val="FFFFFF1D"/>
    <w:multiLevelType w:val="multilevel"/>
    <w:tmpl w:val="FF88AD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0F5EC74A"/>
    <w:lvl w:ilvl="0">
      <w:start w:val="1"/>
      <w:numFmt w:val="decimal"/>
      <w:pStyle w:val="ListNumber"/>
      <w:lvlText w:val="%1."/>
      <w:lvlJc w:val="left"/>
      <w:pPr>
        <w:tabs>
          <w:tab w:val="num" w:pos="360"/>
        </w:tabs>
        <w:ind w:left="360" w:hanging="360"/>
      </w:pPr>
    </w:lvl>
  </w:abstractNum>
  <w:abstractNum w:abstractNumId="2" w15:restartNumberingAfterBreak="0">
    <w:nsid w:val="00000404"/>
    <w:multiLevelType w:val="multilevel"/>
    <w:tmpl w:val="00000887"/>
    <w:lvl w:ilvl="0">
      <w:numFmt w:val="bullet"/>
      <w:lvlText w:val=""/>
      <w:lvlJc w:val="left"/>
      <w:pPr>
        <w:ind w:left="940" w:hanging="720"/>
      </w:pPr>
      <w:rPr>
        <w:rFonts w:ascii="Symbol" w:hAnsi="Symbol" w:cs="Symbol"/>
        <w:b w:val="0"/>
        <w:bCs w:val="0"/>
        <w:sz w:val="24"/>
        <w:szCs w:val="24"/>
      </w:rPr>
    </w:lvl>
    <w:lvl w:ilvl="1">
      <w:numFmt w:val="bullet"/>
      <w:lvlText w:val="•"/>
      <w:lvlJc w:val="left"/>
      <w:pPr>
        <w:ind w:left="1801" w:hanging="720"/>
      </w:pPr>
    </w:lvl>
    <w:lvl w:ilvl="2">
      <w:numFmt w:val="bullet"/>
      <w:lvlText w:val="•"/>
      <w:lvlJc w:val="left"/>
      <w:pPr>
        <w:ind w:left="2662" w:hanging="720"/>
      </w:pPr>
    </w:lvl>
    <w:lvl w:ilvl="3">
      <w:numFmt w:val="bullet"/>
      <w:lvlText w:val="•"/>
      <w:lvlJc w:val="left"/>
      <w:pPr>
        <w:ind w:left="3522" w:hanging="720"/>
      </w:pPr>
    </w:lvl>
    <w:lvl w:ilvl="4">
      <w:numFmt w:val="bullet"/>
      <w:lvlText w:val="•"/>
      <w:lvlJc w:val="left"/>
      <w:pPr>
        <w:ind w:left="4383" w:hanging="720"/>
      </w:pPr>
    </w:lvl>
    <w:lvl w:ilvl="5">
      <w:numFmt w:val="bullet"/>
      <w:lvlText w:val="•"/>
      <w:lvlJc w:val="left"/>
      <w:pPr>
        <w:ind w:left="5244" w:hanging="720"/>
      </w:pPr>
    </w:lvl>
    <w:lvl w:ilvl="6">
      <w:numFmt w:val="bullet"/>
      <w:lvlText w:val="•"/>
      <w:lvlJc w:val="left"/>
      <w:pPr>
        <w:ind w:left="6105" w:hanging="720"/>
      </w:pPr>
    </w:lvl>
    <w:lvl w:ilvl="7">
      <w:numFmt w:val="bullet"/>
      <w:lvlText w:val="•"/>
      <w:lvlJc w:val="left"/>
      <w:pPr>
        <w:ind w:left="6966" w:hanging="720"/>
      </w:pPr>
    </w:lvl>
    <w:lvl w:ilvl="8">
      <w:numFmt w:val="bullet"/>
      <w:lvlText w:val="•"/>
      <w:lvlJc w:val="left"/>
      <w:pPr>
        <w:ind w:left="7827" w:hanging="720"/>
      </w:pPr>
    </w:lvl>
  </w:abstractNum>
  <w:abstractNum w:abstractNumId="3" w15:restartNumberingAfterBreak="0">
    <w:nsid w:val="00C5427F"/>
    <w:multiLevelType w:val="hybridMultilevel"/>
    <w:tmpl w:val="45E25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8B2D18"/>
    <w:multiLevelType w:val="hybridMultilevel"/>
    <w:tmpl w:val="89CCF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E66E79"/>
    <w:multiLevelType w:val="hybridMultilevel"/>
    <w:tmpl w:val="BB52E39A"/>
    <w:lvl w:ilvl="0" w:tplc="0C090017">
      <w:start w:val="1"/>
      <w:numFmt w:val="lowerLetter"/>
      <w:lvlText w:val="%1)"/>
      <w:lvlJc w:val="left"/>
      <w:pPr>
        <w:ind w:left="5040" w:hanging="360"/>
      </w:pPr>
    </w:lvl>
    <w:lvl w:ilvl="1" w:tplc="0C090019" w:tentative="1">
      <w:start w:val="1"/>
      <w:numFmt w:val="lowerLetter"/>
      <w:lvlText w:val="%2."/>
      <w:lvlJc w:val="left"/>
      <w:pPr>
        <w:ind w:left="5760" w:hanging="360"/>
      </w:pPr>
    </w:lvl>
    <w:lvl w:ilvl="2" w:tplc="0C09001B" w:tentative="1">
      <w:start w:val="1"/>
      <w:numFmt w:val="lowerRoman"/>
      <w:lvlText w:val="%3."/>
      <w:lvlJc w:val="right"/>
      <w:pPr>
        <w:ind w:left="6480" w:hanging="180"/>
      </w:pPr>
    </w:lvl>
    <w:lvl w:ilvl="3" w:tplc="0C09000F" w:tentative="1">
      <w:start w:val="1"/>
      <w:numFmt w:val="decimal"/>
      <w:lvlText w:val="%4."/>
      <w:lvlJc w:val="left"/>
      <w:pPr>
        <w:ind w:left="7200" w:hanging="360"/>
      </w:pPr>
    </w:lvl>
    <w:lvl w:ilvl="4" w:tplc="0C090019" w:tentative="1">
      <w:start w:val="1"/>
      <w:numFmt w:val="lowerLetter"/>
      <w:lvlText w:val="%5."/>
      <w:lvlJc w:val="left"/>
      <w:pPr>
        <w:ind w:left="7920" w:hanging="360"/>
      </w:pPr>
    </w:lvl>
    <w:lvl w:ilvl="5" w:tplc="0C09001B" w:tentative="1">
      <w:start w:val="1"/>
      <w:numFmt w:val="lowerRoman"/>
      <w:lvlText w:val="%6."/>
      <w:lvlJc w:val="right"/>
      <w:pPr>
        <w:ind w:left="8640" w:hanging="180"/>
      </w:pPr>
    </w:lvl>
    <w:lvl w:ilvl="6" w:tplc="0C09000F" w:tentative="1">
      <w:start w:val="1"/>
      <w:numFmt w:val="decimal"/>
      <w:lvlText w:val="%7."/>
      <w:lvlJc w:val="left"/>
      <w:pPr>
        <w:ind w:left="9360" w:hanging="360"/>
      </w:pPr>
    </w:lvl>
    <w:lvl w:ilvl="7" w:tplc="0C090019" w:tentative="1">
      <w:start w:val="1"/>
      <w:numFmt w:val="lowerLetter"/>
      <w:lvlText w:val="%8."/>
      <w:lvlJc w:val="left"/>
      <w:pPr>
        <w:ind w:left="10080" w:hanging="360"/>
      </w:pPr>
    </w:lvl>
    <w:lvl w:ilvl="8" w:tplc="0C09001B" w:tentative="1">
      <w:start w:val="1"/>
      <w:numFmt w:val="lowerRoman"/>
      <w:lvlText w:val="%9."/>
      <w:lvlJc w:val="right"/>
      <w:pPr>
        <w:ind w:left="10800" w:hanging="180"/>
      </w:pPr>
    </w:lvl>
  </w:abstractNum>
  <w:abstractNum w:abstractNumId="6" w15:restartNumberingAfterBreak="0">
    <w:nsid w:val="0CF11B1F"/>
    <w:multiLevelType w:val="hybridMultilevel"/>
    <w:tmpl w:val="6C0679B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108B5BBD"/>
    <w:multiLevelType w:val="multilevel"/>
    <w:tmpl w:val="F8964B50"/>
    <w:lvl w:ilvl="0">
      <w:start w:val="1"/>
      <w:numFmt w:val="none"/>
      <w:pStyle w:val="Legal1"/>
      <w:isLgl/>
      <w:lvlText w:val="3"/>
      <w:lvlJc w:val="left"/>
      <w:pPr>
        <w:tabs>
          <w:tab w:val="num" w:pos="360"/>
        </w:tabs>
        <w:ind w:left="0" w:firstLine="0"/>
      </w:pPr>
      <w:rPr>
        <w:rFonts w:hint="default"/>
      </w:rPr>
    </w:lvl>
    <w:lvl w:ilvl="1">
      <w:start w:val="1"/>
      <w:numFmt w:val="none"/>
      <w:lvlRestart w:val="0"/>
      <w:isLgl/>
      <w:lvlText w:val="3.1"/>
      <w:lvlJc w:val="left"/>
      <w:pPr>
        <w:tabs>
          <w:tab w:val="num" w:pos="720"/>
        </w:tabs>
        <w:ind w:left="720" w:hanging="720"/>
      </w:pPr>
      <w:rPr>
        <w:rFonts w:hint="default"/>
      </w:rPr>
    </w:lvl>
    <w:lvl w:ilvl="2">
      <w:start w:val="1"/>
      <w:numFmt w:val="decimal"/>
      <w:pStyle w:val="Legal3"/>
      <w:lvlText w:val="%1.%2.%3"/>
      <w:lvlJc w:val="left"/>
      <w:pPr>
        <w:tabs>
          <w:tab w:val="num" w:pos="72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 w15:restartNumberingAfterBreak="0">
    <w:nsid w:val="123B0458"/>
    <w:multiLevelType w:val="hybridMultilevel"/>
    <w:tmpl w:val="E3FE143E"/>
    <w:lvl w:ilvl="0" w:tplc="FAD09790">
      <w:start w:val="1"/>
      <w:numFmt w:val="bullet"/>
      <w:pStyle w:val="Bullet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07B9F"/>
    <w:multiLevelType w:val="hybridMultilevel"/>
    <w:tmpl w:val="8F9237E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196A322D"/>
    <w:multiLevelType w:val="hybridMultilevel"/>
    <w:tmpl w:val="620AB7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EA02877"/>
    <w:multiLevelType w:val="multilevel"/>
    <w:tmpl w:val="E604B7B4"/>
    <w:styleLink w:val="Style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F110416"/>
    <w:multiLevelType w:val="hybridMultilevel"/>
    <w:tmpl w:val="F69A1718"/>
    <w:lvl w:ilvl="0" w:tplc="FE5A6D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252842"/>
    <w:multiLevelType w:val="multilevel"/>
    <w:tmpl w:val="32D47E06"/>
    <w:styleLink w:val="Style1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6B2415C"/>
    <w:multiLevelType w:val="hybridMultilevel"/>
    <w:tmpl w:val="5BE4AE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656FBF"/>
    <w:multiLevelType w:val="hybridMultilevel"/>
    <w:tmpl w:val="410CC506"/>
    <w:lvl w:ilvl="0" w:tplc="0C090001">
      <w:start w:val="1"/>
      <w:numFmt w:val="lowerLetter"/>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start w:val="1"/>
      <w:numFmt w:val="lowerLetter"/>
      <w:lvlText w:val="%6)"/>
      <w:lvlJc w:val="lef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6" w15:restartNumberingAfterBreak="0">
    <w:nsid w:val="2B9D5F96"/>
    <w:multiLevelType w:val="multilevel"/>
    <w:tmpl w:val="08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F69170D"/>
    <w:multiLevelType w:val="hybridMultilevel"/>
    <w:tmpl w:val="2320E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DE4CA4"/>
    <w:multiLevelType w:val="multilevel"/>
    <w:tmpl w:val="A20404E4"/>
    <w:styleLink w:val="Style9"/>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D385D78"/>
    <w:multiLevelType w:val="multilevel"/>
    <w:tmpl w:val="7FCE69CE"/>
    <w:styleLink w:val="Style5"/>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FA27551"/>
    <w:multiLevelType w:val="hybridMultilevel"/>
    <w:tmpl w:val="D9B6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035A3"/>
    <w:multiLevelType w:val="hybridMultilevel"/>
    <w:tmpl w:val="B390473A"/>
    <w:lvl w:ilvl="0" w:tplc="F4F03E9A">
      <w:start w:val="1"/>
      <w:numFmt w:val="bullet"/>
      <w:lvlText w:val=""/>
      <w:lvlJc w:val="left"/>
      <w:pPr>
        <w:ind w:left="765" w:hanging="360"/>
      </w:pPr>
      <w:rPr>
        <w:rFonts w:ascii="Symbol" w:hAnsi="Symbol" w:hint="default"/>
      </w:rPr>
    </w:lvl>
    <w:lvl w:ilvl="1" w:tplc="48090003" w:tentative="1">
      <w:start w:val="1"/>
      <w:numFmt w:val="bullet"/>
      <w:lvlText w:val="o"/>
      <w:lvlJc w:val="left"/>
      <w:pPr>
        <w:ind w:left="1485" w:hanging="360"/>
      </w:pPr>
      <w:rPr>
        <w:rFonts w:ascii="Courier New" w:hAnsi="Courier New" w:cs="Courier New" w:hint="default"/>
      </w:rPr>
    </w:lvl>
    <w:lvl w:ilvl="2" w:tplc="48090005" w:tentative="1">
      <w:start w:val="1"/>
      <w:numFmt w:val="bullet"/>
      <w:lvlText w:val=""/>
      <w:lvlJc w:val="left"/>
      <w:pPr>
        <w:ind w:left="2205" w:hanging="360"/>
      </w:pPr>
      <w:rPr>
        <w:rFonts w:ascii="Wingdings" w:hAnsi="Wingdings" w:hint="default"/>
      </w:rPr>
    </w:lvl>
    <w:lvl w:ilvl="3" w:tplc="48090001" w:tentative="1">
      <w:start w:val="1"/>
      <w:numFmt w:val="bullet"/>
      <w:lvlText w:val=""/>
      <w:lvlJc w:val="left"/>
      <w:pPr>
        <w:ind w:left="2925" w:hanging="360"/>
      </w:pPr>
      <w:rPr>
        <w:rFonts w:ascii="Symbol" w:hAnsi="Symbol" w:hint="default"/>
      </w:rPr>
    </w:lvl>
    <w:lvl w:ilvl="4" w:tplc="48090003" w:tentative="1">
      <w:start w:val="1"/>
      <w:numFmt w:val="bullet"/>
      <w:lvlText w:val="o"/>
      <w:lvlJc w:val="left"/>
      <w:pPr>
        <w:ind w:left="3645" w:hanging="360"/>
      </w:pPr>
      <w:rPr>
        <w:rFonts w:ascii="Courier New" w:hAnsi="Courier New" w:cs="Courier New" w:hint="default"/>
      </w:rPr>
    </w:lvl>
    <w:lvl w:ilvl="5" w:tplc="48090005" w:tentative="1">
      <w:start w:val="1"/>
      <w:numFmt w:val="bullet"/>
      <w:lvlText w:val=""/>
      <w:lvlJc w:val="left"/>
      <w:pPr>
        <w:ind w:left="4365" w:hanging="360"/>
      </w:pPr>
      <w:rPr>
        <w:rFonts w:ascii="Wingdings" w:hAnsi="Wingdings" w:hint="default"/>
      </w:rPr>
    </w:lvl>
    <w:lvl w:ilvl="6" w:tplc="48090001" w:tentative="1">
      <w:start w:val="1"/>
      <w:numFmt w:val="bullet"/>
      <w:lvlText w:val=""/>
      <w:lvlJc w:val="left"/>
      <w:pPr>
        <w:ind w:left="5085" w:hanging="360"/>
      </w:pPr>
      <w:rPr>
        <w:rFonts w:ascii="Symbol" w:hAnsi="Symbol" w:hint="default"/>
      </w:rPr>
    </w:lvl>
    <w:lvl w:ilvl="7" w:tplc="48090003" w:tentative="1">
      <w:start w:val="1"/>
      <w:numFmt w:val="bullet"/>
      <w:lvlText w:val="o"/>
      <w:lvlJc w:val="left"/>
      <w:pPr>
        <w:ind w:left="5805" w:hanging="360"/>
      </w:pPr>
      <w:rPr>
        <w:rFonts w:ascii="Courier New" w:hAnsi="Courier New" w:cs="Courier New" w:hint="default"/>
      </w:rPr>
    </w:lvl>
    <w:lvl w:ilvl="8" w:tplc="48090005" w:tentative="1">
      <w:start w:val="1"/>
      <w:numFmt w:val="bullet"/>
      <w:lvlText w:val=""/>
      <w:lvlJc w:val="left"/>
      <w:pPr>
        <w:ind w:left="6525" w:hanging="360"/>
      </w:pPr>
      <w:rPr>
        <w:rFonts w:ascii="Wingdings" w:hAnsi="Wingdings" w:hint="default"/>
      </w:rPr>
    </w:lvl>
  </w:abstractNum>
  <w:abstractNum w:abstractNumId="22" w15:restartNumberingAfterBreak="0">
    <w:nsid w:val="446D48C3"/>
    <w:multiLevelType w:val="multilevel"/>
    <w:tmpl w:val="AE601C1A"/>
    <w:lvl w:ilvl="0">
      <w:start w:val="1"/>
      <w:numFmt w:val="decimal"/>
      <w:pStyle w:val="Heading1"/>
      <w:lvlText w:val="%1."/>
      <w:lvlJc w:val="left"/>
      <w:pPr>
        <w:ind w:left="851" w:hanging="851"/>
      </w:pPr>
      <w:rPr>
        <w:rFonts w:hint="default"/>
      </w:rPr>
    </w:lvl>
    <w:lvl w:ilvl="1">
      <w:start w:val="1"/>
      <w:numFmt w:val="decimal"/>
      <w:pStyle w:val="Heading2"/>
      <w:lvlText w:val="%1.%2"/>
      <w:lvlJc w:val="left"/>
      <w:pPr>
        <w:tabs>
          <w:tab w:val="num" w:pos="851"/>
        </w:tabs>
        <w:ind w:left="851" w:hanging="851"/>
      </w:pPr>
      <w:rPr>
        <w:rFonts w:hint="default"/>
        <w:i w:val="0"/>
      </w:rPr>
    </w:lvl>
    <w:lvl w:ilvl="2">
      <w:start w:val="1"/>
      <w:numFmt w:val="decimal"/>
      <w:pStyle w:val="Heading3"/>
      <w:lvlText w:val="%1.%2.%3"/>
      <w:lvlJc w:val="left"/>
      <w:pPr>
        <w:ind w:left="1712" w:hanging="851"/>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541B5F1F"/>
    <w:multiLevelType w:val="hybridMultilevel"/>
    <w:tmpl w:val="312CE4B8"/>
    <w:lvl w:ilvl="0" w:tplc="2EB68002">
      <w:start w:val="4"/>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1C2200"/>
    <w:multiLevelType w:val="hybridMultilevel"/>
    <w:tmpl w:val="110EA8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DB10AD7"/>
    <w:multiLevelType w:val="multilevel"/>
    <w:tmpl w:val="6E227E0C"/>
    <w:styleLink w:val="Style1"/>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0207791"/>
    <w:multiLevelType w:val="hybridMultilevel"/>
    <w:tmpl w:val="839A0EE4"/>
    <w:lvl w:ilvl="0" w:tplc="DEDAD43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0C61F4"/>
    <w:multiLevelType w:val="multilevel"/>
    <w:tmpl w:val="A3CA17DC"/>
    <w:styleLink w:val="Style7"/>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3C1357F"/>
    <w:multiLevelType w:val="multilevel"/>
    <w:tmpl w:val="BFF6B8F0"/>
    <w:styleLink w:val="Styl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4E86FC0"/>
    <w:multiLevelType w:val="hybridMultilevel"/>
    <w:tmpl w:val="F3B4F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0653FC"/>
    <w:multiLevelType w:val="hybridMultilevel"/>
    <w:tmpl w:val="FFAE6414"/>
    <w:lvl w:ilvl="0" w:tplc="FFFFFFFF">
      <w:start w:val="1"/>
      <w:numFmt w:val="lowerLetter"/>
      <w:lvlText w:val="%1)"/>
      <w:lvlJc w:val="left"/>
      <w:pPr>
        <w:ind w:left="2148" w:hanging="360"/>
      </w:pPr>
    </w:lvl>
    <w:lvl w:ilvl="1" w:tplc="FFFFFFFF" w:tentative="1">
      <w:start w:val="1"/>
      <w:numFmt w:val="lowerLetter"/>
      <w:lvlText w:val="%2."/>
      <w:lvlJc w:val="left"/>
      <w:pPr>
        <w:ind w:left="2868" w:hanging="360"/>
      </w:pPr>
    </w:lvl>
    <w:lvl w:ilvl="2" w:tplc="FFFFFFFF" w:tentative="1">
      <w:start w:val="1"/>
      <w:numFmt w:val="lowerRoman"/>
      <w:lvlText w:val="%3."/>
      <w:lvlJc w:val="right"/>
      <w:pPr>
        <w:ind w:left="3588" w:hanging="180"/>
      </w:pPr>
    </w:lvl>
    <w:lvl w:ilvl="3" w:tplc="FFFFFFFF" w:tentative="1">
      <w:start w:val="1"/>
      <w:numFmt w:val="decimal"/>
      <w:lvlText w:val="%4."/>
      <w:lvlJc w:val="left"/>
      <w:pPr>
        <w:ind w:left="4308" w:hanging="360"/>
      </w:pPr>
    </w:lvl>
    <w:lvl w:ilvl="4" w:tplc="FFFFFFFF" w:tentative="1">
      <w:start w:val="1"/>
      <w:numFmt w:val="lowerLetter"/>
      <w:lvlText w:val="%5."/>
      <w:lvlJc w:val="left"/>
      <w:pPr>
        <w:ind w:left="5028" w:hanging="360"/>
      </w:pPr>
    </w:lvl>
    <w:lvl w:ilvl="5" w:tplc="FFFFFFFF" w:tentative="1">
      <w:start w:val="1"/>
      <w:numFmt w:val="lowerRoman"/>
      <w:lvlText w:val="%6."/>
      <w:lvlJc w:val="right"/>
      <w:pPr>
        <w:ind w:left="5748" w:hanging="180"/>
      </w:pPr>
    </w:lvl>
    <w:lvl w:ilvl="6" w:tplc="FFFFFFFF" w:tentative="1">
      <w:start w:val="1"/>
      <w:numFmt w:val="decimal"/>
      <w:lvlText w:val="%7."/>
      <w:lvlJc w:val="left"/>
      <w:pPr>
        <w:ind w:left="6468" w:hanging="360"/>
      </w:pPr>
    </w:lvl>
    <w:lvl w:ilvl="7" w:tplc="FFFFFFFF" w:tentative="1">
      <w:start w:val="1"/>
      <w:numFmt w:val="lowerLetter"/>
      <w:lvlText w:val="%8."/>
      <w:lvlJc w:val="left"/>
      <w:pPr>
        <w:ind w:left="7188" w:hanging="360"/>
      </w:pPr>
    </w:lvl>
    <w:lvl w:ilvl="8" w:tplc="FFFFFFFF" w:tentative="1">
      <w:start w:val="1"/>
      <w:numFmt w:val="lowerRoman"/>
      <w:lvlText w:val="%9."/>
      <w:lvlJc w:val="right"/>
      <w:pPr>
        <w:ind w:left="7908" w:hanging="180"/>
      </w:pPr>
    </w:lvl>
  </w:abstractNum>
  <w:abstractNum w:abstractNumId="31" w15:restartNumberingAfterBreak="0">
    <w:nsid w:val="6C780D94"/>
    <w:multiLevelType w:val="hybridMultilevel"/>
    <w:tmpl w:val="61AC904A"/>
    <w:lvl w:ilvl="0" w:tplc="27740C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627DFA"/>
    <w:multiLevelType w:val="hybridMultilevel"/>
    <w:tmpl w:val="69B24C0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3" w15:restartNumberingAfterBreak="0">
    <w:nsid w:val="72B96EFE"/>
    <w:multiLevelType w:val="hybridMultilevel"/>
    <w:tmpl w:val="B1AE10E4"/>
    <w:lvl w:ilvl="0" w:tplc="0C090017">
      <w:start w:val="1"/>
      <w:numFmt w:val="bullet"/>
      <w:lvlText w:val=""/>
      <w:lvlJc w:val="left"/>
      <w:pPr>
        <w:ind w:left="-4320" w:hanging="360"/>
      </w:pPr>
      <w:rPr>
        <w:rFonts w:ascii="Symbol" w:hAnsi="Symbol" w:hint="default"/>
      </w:rPr>
    </w:lvl>
    <w:lvl w:ilvl="1" w:tplc="0C090019" w:tentative="1">
      <w:start w:val="1"/>
      <w:numFmt w:val="bullet"/>
      <w:lvlText w:val="o"/>
      <w:lvlJc w:val="left"/>
      <w:pPr>
        <w:ind w:left="-3600" w:hanging="360"/>
      </w:pPr>
      <w:rPr>
        <w:rFonts w:ascii="Courier New" w:hAnsi="Courier New" w:cs="Courier New" w:hint="default"/>
      </w:rPr>
    </w:lvl>
    <w:lvl w:ilvl="2" w:tplc="0C09001B" w:tentative="1">
      <w:start w:val="1"/>
      <w:numFmt w:val="bullet"/>
      <w:lvlText w:val=""/>
      <w:lvlJc w:val="left"/>
      <w:pPr>
        <w:ind w:left="-2880" w:hanging="360"/>
      </w:pPr>
      <w:rPr>
        <w:rFonts w:ascii="Wingdings" w:hAnsi="Wingdings" w:hint="default"/>
      </w:rPr>
    </w:lvl>
    <w:lvl w:ilvl="3" w:tplc="0C09000F" w:tentative="1">
      <w:start w:val="1"/>
      <w:numFmt w:val="bullet"/>
      <w:lvlText w:val=""/>
      <w:lvlJc w:val="left"/>
      <w:pPr>
        <w:ind w:left="-2160" w:hanging="360"/>
      </w:pPr>
      <w:rPr>
        <w:rFonts w:ascii="Symbol" w:hAnsi="Symbol" w:hint="default"/>
      </w:rPr>
    </w:lvl>
    <w:lvl w:ilvl="4" w:tplc="0C090019" w:tentative="1">
      <w:start w:val="1"/>
      <w:numFmt w:val="bullet"/>
      <w:lvlText w:val="o"/>
      <w:lvlJc w:val="left"/>
      <w:pPr>
        <w:ind w:left="-1440" w:hanging="360"/>
      </w:pPr>
      <w:rPr>
        <w:rFonts w:ascii="Courier New" w:hAnsi="Courier New" w:cs="Courier New" w:hint="default"/>
      </w:rPr>
    </w:lvl>
    <w:lvl w:ilvl="5" w:tplc="0C09001B" w:tentative="1">
      <w:start w:val="1"/>
      <w:numFmt w:val="bullet"/>
      <w:lvlText w:val=""/>
      <w:lvlJc w:val="left"/>
      <w:pPr>
        <w:ind w:left="-720" w:hanging="360"/>
      </w:pPr>
      <w:rPr>
        <w:rFonts w:ascii="Wingdings" w:hAnsi="Wingdings" w:hint="default"/>
      </w:rPr>
    </w:lvl>
    <w:lvl w:ilvl="6" w:tplc="0C09000F" w:tentative="1">
      <w:start w:val="1"/>
      <w:numFmt w:val="bullet"/>
      <w:lvlText w:val=""/>
      <w:lvlJc w:val="left"/>
      <w:pPr>
        <w:ind w:left="0" w:hanging="360"/>
      </w:pPr>
      <w:rPr>
        <w:rFonts w:ascii="Symbol" w:hAnsi="Symbol" w:hint="default"/>
      </w:rPr>
    </w:lvl>
    <w:lvl w:ilvl="7" w:tplc="0C090019" w:tentative="1">
      <w:start w:val="1"/>
      <w:numFmt w:val="bullet"/>
      <w:lvlText w:val="o"/>
      <w:lvlJc w:val="left"/>
      <w:pPr>
        <w:ind w:left="720" w:hanging="360"/>
      </w:pPr>
      <w:rPr>
        <w:rFonts w:ascii="Courier New" w:hAnsi="Courier New" w:cs="Courier New" w:hint="default"/>
      </w:rPr>
    </w:lvl>
    <w:lvl w:ilvl="8" w:tplc="0C09001B" w:tentative="1">
      <w:start w:val="1"/>
      <w:numFmt w:val="bullet"/>
      <w:lvlText w:val=""/>
      <w:lvlJc w:val="left"/>
      <w:pPr>
        <w:ind w:left="1440" w:hanging="360"/>
      </w:pPr>
      <w:rPr>
        <w:rFonts w:ascii="Wingdings" w:hAnsi="Wingdings" w:hint="default"/>
      </w:rPr>
    </w:lvl>
  </w:abstractNum>
  <w:abstractNum w:abstractNumId="34" w15:restartNumberingAfterBreak="0">
    <w:nsid w:val="73A01C32"/>
    <w:multiLevelType w:val="multilevel"/>
    <w:tmpl w:val="0A64E490"/>
    <w:styleLink w:val="Style4"/>
    <w:lvl w:ilvl="0">
      <w:start w:val="1"/>
      <w:numFmt w:val="decimal"/>
      <w:lvlText w:val="%1"/>
      <w:lvlJc w:val="left"/>
      <w:pPr>
        <w:tabs>
          <w:tab w:val="num" w:pos="720"/>
        </w:tabs>
        <w:ind w:left="720" w:hanging="720"/>
      </w:pPr>
      <w:rPr>
        <w:rFonts w:hint="default"/>
      </w:rPr>
    </w:lvl>
    <w:lvl w:ilvl="1">
      <w:start w:val="3"/>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6DE7A8B"/>
    <w:multiLevelType w:val="multilevel"/>
    <w:tmpl w:val="9104C20C"/>
    <w:lvl w:ilvl="0">
      <w:start w:val="3"/>
      <w:numFmt w:val="none"/>
      <w:isLgl/>
      <w:lvlText w:val="7"/>
      <w:lvlJc w:val="left"/>
      <w:pPr>
        <w:tabs>
          <w:tab w:val="num" w:pos="360"/>
        </w:tabs>
        <w:ind w:left="0" w:firstLine="0"/>
      </w:pPr>
      <w:rPr>
        <w:rFonts w:hint="default"/>
      </w:rPr>
    </w:lvl>
    <w:lvl w:ilvl="1">
      <w:start w:val="1"/>
      <w:numFmt w:val="decimal"/>
      <w:lvlRestart w:val="0"/>
      <w:pStyle w:val="Legal2"/>
      <w:isLgl/>
      <w:lvlText w:val="10.%2"/>
      <w:lvlJc w:val="left"/>
      <w:pPr>
        <w:tabs>
          <w:tab w:val="num" w:pos="72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6" w15:restartNumberingAfterBreak="0">
    <w:nsid w:val="7924254E"/>
    <w:multiLevelType w:val="hybridMultilevel"/>
    <w:tmpl w:val="858E2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6023FC"/>
    <w:multiLevelType w:val="multilevel"/>
    <w:tmpl w:val="603C69D0"/>
    <w:styleLink w:val="Style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F390357"/>
    <w:multiLevelType w:val="hybridMultilevel"/>
    <w:tmpl w:val="96361B94"/>
    <w:lvl w:ilvl="0" w:tplc="27740C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5070074">
    <w:abstractNumId w:val="1"/>
  </w:num>
  <w:num w:numId="2" w16cid:durableId="800341475">
    <w:abstractNumId w:val="7"/>
  </w:num>
  <w:num w:numId="3" w16cid:durableId="2036031989">
    <w:abstractNumId w:val="35"/>
  </w:num>
  <w:num w:numId="4" w16cid:durableId="822477299">
    <w:abstractNumId w:val="25"/>
  </w:num>
  <w:num w:numId="5" w16cid:durableId="1669401993">
    <w:abstractNumId w:val="28"/>
  </w:num>
  <w:num w:numId="6" w16cid:durableId="101339841">
    <w:abstractNumId w:val="16"/>
  </w:num>
  <w:num w:numId="7" w16cid:durableId="1829781479">
    <w:abstractNumId w:val="34"/>
  </w:num>
  <w:num w:numId="8" w16cid:durableId="931201831">
    <w:abstractNumId w:val="19"/>
  </w:num>
  <w:num w:numId="9" w16cid:durableId="481166514">
    <w:abstractNumId w:val="37"/>
  </w:num>
  <w:num w:numId="10" w16cid:durableId="1580870940">
    <w:abstractNumId w:val="27"/>
  </w:num>
  <w:num w:numId="11" w16cid:durableId="908468278">
    <w:abstractNumId w:val="11"/>
  </w:num>
  <w:num w:numId="12" w16cid:durableId="1840195637">
    <w:abstractNumId w:val="18"/>
  </w:num>
  <w:num w:numId="13" w16cid:durableId="1060445340">
    <w:abstractNumId w:val="13"/>
  </w:num>
  <w:num w:numId="14" w16cid:durableId="1128469893">
    <w:abstractNumId w:val="22"/>
  </w:num>
  <w:num w:numId="15" w16cid:durableId="1171067295">
    <w:abstractNumId w:val="8"/>
  </w:num>
  <w:num w:numId="16" w16cid:durableId="575241175">
    <w:abstractNumId w:val="24"/>
  </w:num>
  <w:num w:numId="17" w16cid:durableId="1089421208">
    <w:abstractNumId w:val="9"/>
  </w:num>
  <w:num w:numId="18" w16cid:durableId="1809009335">
    <w:abstractNumId w:val="6"/>
  </w:num>
  <w:num w:numId="19" w16cid:durableId="50349854">
    <w:abstractNumId w:val="32"/>
  </w:num>
  <w:num w:numId="20" w16cid:durableId="2128349708">
    <w:abstractNumId w:val="10"/>
  </w:num>
  <w:num w:numId="21" w16cid:durableId="298078166">
    <w:abstractNumId w:val="12"/>
  </w:num>
  <w:num w:numId="22" w16cid:durableId="27950893">
    <w:abstractNumId w:val="26"/>
  </w:num>
  <w:num w:numId="23" w16cid:durableId="1005281052">
    <w:abstractNumId w:val="36"/>
  </w:num>
  <w:num w:numId="24" w16cid:durableId="107549446">
    <w:abstractNumId w:val="38"/>
  </w:num>
  <w:num w:numId="25" w16cid:durableId="1979455489">
    <w:abstractNumId w:val="31"/>
  </w:num>
  <w:num w:numId="26" w16cid:durableId="514077676">
    <w:abstractNumId w:val="4"/>
  </w:num>
  <w:num w:numId="27" w16cid:durableId="781191480">
    <w:abstractNumId w:val="33"/>
  </w:num>
  <w:num w:numId="28" w16cid:durableId="1601571491">
    <w:abstractNumId w:val="29"/>
  </w:num>
  <w:num w:numId="29" w16cid:durableId="1136752065">
    <w:abstractNumId w:val="14"/>
  </w:num>
  <w:num w:numId="30" w16cid:durableId="1058482486">
    <w:abstractNumId w:val="21"/>
  </w:num>
  <w:num w:numId="31" w16cid:durableId="775053192">
    <w:abstractNumId w:val="20"/>
  </w:num>
  <w:num w:numId="32" w16cid:durableId="595016411">
    <w:abstractNumId w:val="0"/>
  </w:num>
  <w:num w:numId="33" w16cid:durableId="705369129">
    <w:abstractNumId w:val="15"/>
  </w:num>
  <w:num w:numId="34" w16cid:durableId="629868418">
    <w:abstractNumId w:val="5"/>
  </w:num>
  <w:num w:numId="35" w16cid:durableId="1008286806">
    <w:abstractNumId w:val="30"/>
  </w:num>
  <w:num w:numId="36" w16cid:durableId="1764454806">
    <w:abstractNumId w:val="17"/>
  </w:num>
  <w:num w:numId="37" w16cid:durableId="1284381419">
    <w:abstractNumId w:val="2"/>
  </w:num>
  <w:num w:numId="38" w16cid:durableId="1557080909">
    <w:abstractNumId w:val="3"/>
  </w:num>
  <w:num w:numId="39" w16cid:durableId="1412586048">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o:colormru v:ext="edit" colors="#06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AC"/>
    <w:rsid w:val="00002387"/>
    <w:rsid w:val="00002C7C"/>
    <w:rsid w:val="00004A9D"/>
    <w:rsid w:val="0000668E"/>
    <w:rsid w:val="000070A8"/>
    <w:rsid w:val="00010C15"/>
    <w:rsid w:val="00010D89"/>
    <w:rsid w:val="00011854"/>
    <w:rsid w:val="00012343"/>
    <w:rsid w:val="00014FFD"/>
    <w:rsid w:val="00017E9D"/>
    <w:rsid w:val="000200CC"/>
    <w:rsid w:val="0002327D"/>
    <w:rsid w:val="00024616"/>
    <w:rsid w:val="00024A04"/>
    <w:rsid w:val="00024A50"/>
    <w:rsid w:val="00025529"/>
    <w:rsid w:val="00025D42"/>
    <w:rsid w:val="00030772"/>
    <w:rsid w:val="00032DE5"/>
    <w:rsid w:val="00034E2C"/>
    <w:rsid w:val="00036B49"/>
    <w:rsid w:val="000377BC"/>
    <w:rsid w:val="0004071F"/>
    <w:rsid w:val="00042C2A"/>
    <w:rsid w:val="00045B32"/>
    <w:rsid w:val="00045C7B"/>
    <w:rsid w:val="0004664A"/>
    <w:rsid w:val="00046CC9"/>
    <w:rsid w:val="00052E7C"/>
    <w:rsid w:val="000539E1"/>
    <w:rsid w:val="00053ADA"/>
    <w:rsid w:val="00054345"/>
    <w:rsid w:val="00054E3D"/>
    <w:rsid w:val="00055D5B"/>
    <w:rsid w:val="00055DA2"/>
    <w:rsid w:val="00057515"/>
    <w:rsid w:val="00057D21"/>
    <w:rsid w:val="000607E3"/>
    <w:rsid w:val="00060E6D"/>
    <w:rsid w:val="0006350E"/>
    <w:rsid w:val="00063A7C"/>
    <w:rsid w:val="0006619B"/>
    <w:rsid w:val="00067E03"/>
    <w:rsid w:val="0007022A"/>
    <w:rsid w:val="0007068E"/>
    <w:rsid w:val="000718B6"/>
    <w:rsid w:val="00073DCC"/>
    <w:rsid w:val="00073F04"/>
    <w:rsid w:val="00075139"/>
    <w:rsid w:val="00075B84"/>
    <w:rsid w:val="0007645D"/>
    <w:rsid w:val="00076462"/>
    <w:rsid w:val="00080AF5"/>
    <w:rsid w:val="0008398A"/>
    <w:rsid w:val="00085D74"/>
    <w:rsid w:val="00086CAA"/>
    <w:rsid w:val="00092B5E"/>
    <w:rsid w:val="00093972"/>
    <w:rsid w:val="000946A1"/>
    <w:rsid w:val="00095406"/>
    <w:rsid w:val="00095DA9"/>
    <w:rsid w:val="000960EB"/>
    <w:rsid w:val="00097C0D"/>
    <w:rsid w:val="000A2A82"/>
    <w:rsid w:val="000A37CE"/>
    <w:rsid w:val="000A38C3"/>
    <w:rsid w:val="000A5F71"/>
    <w:rsid w:val="000A677A"/>
    <w:rsid w:val="000A79D8"/>
    <w:rsid w:val="000A7B29"/>
    <w:rsid w:val="000B3841"/>
    <w:rsid w:val="000B42EA"/>
    <w:rsid w:val="000B58EB"/>
    <w:rsid w:val="000B59F3"/>
    <w:rsid w:val="000B6E0D"/>
    <w:rsid w:val="000C22D3"/>
    <w:rsid w:val="000C2DAF"/>
    <w:rsid w:val="000C2FC0"/>
    <w:rsid w:val="000C3FCC"/>
    <w:rsid w:val="000C6882"/>
    <w:rsid w:val="000D0C39"/>
    <w:rsid w:val="000D13F6"/>
    <w:rsid w:val="000D16F3"/>
    <w:rsid w:val="000D3FEA"/>
    <w:rsid w:val="000D6954"/>
    <w:rsid w:val="000D7A4A"/>
    <w:rsid w:val="000D7D80"/>
    <w:rsid w:val="000E1420"/>
    <w:rsid w:val="000E147B"/>
    <w:rsid w:val="000E3688"/>
    <w:rsid w:val="000E6879"/>
    <w:rsid w:val="000F0060"/>
    <w:rsid w:val="000F021E"/>
    <w:rsid w:val="000F06B4"/>
    <w:rsid w:val="000F0DC2"/>
    <w:rsid w:val="000F2FCF"/>
    <w:rsid w:val="000F4F91"/>
    <w:rsid w:val="000F5834"/>
    <w:rsid w:val="000F7796"/>
    <w:rsid w:val="000F7F80"/>
    <w:rsid w:val="00100227"/>
    <w:rsid w:val="00100682"/>
    <w:rsid w:val="0010105C"/>
    <w:rsid w:val="001039A4"/>
    <w:rsid w:val="0010434C"/>
    <w:rsid w:val="001046E2"/>
    <w:rsid w:val="00105B03"/>
    <w:rsid w:val="00105BB3"/>
    <w:rsid w:val="001068E4"/>
    <w:rsid w:val="00107267"/>
    <w:rsid w:val="00107F6E"/>
    <w:rsid w:val="0011174C"/>
    <w:rsid w:val="00114A5E"/>
    <w:rsid w:val="00116DA5"/>
    <w:rsid w:val="00121595"/>
    <w:rsid w:val="00122808"/>
    <w:rsid w:val="00123459"/>
    <w:rsid w:val="0012404E"/>
    <w:rsid w:val="00130577"/>
    <w:rsid w:val="00130B3C"/>
    <w:rsid w:val="00131C67"/>
    <w:rsid w:val="00132969"/>
    <w:rsid w:val="00134B69"/>
    <w:rsid w:val="00136A54"/>
    <w:rsid w:val="00137F59"/>
    <w:rsid w:val="001400C9"/>
    <w:rsid w:val="00141BAD"/>
    <w:rsid w:val="00142102"/>
    <w:rsid w:val="00143FA5"/>
    <w:rsid w:val="001446AD"/>
    <w:rsid w:val="00145723"/>
    <w:rsid w:val="001473C3"/>
    <w:rsid w:val="001524DC"/>
    <w:rsid w:val="001527C2"/>
    <w:rsid w:val="0016201B"/>
    <w:rsid w:val="00162654"/>
    <w:rsid w:val="001643D9"/>
    <w:rsid w:val="00165E9E"/>
    <w:rsid w:val="00166BFD"/>
    <w:rsid w:val="00166C6D"/>
    <w:rsid w:val="00167783"/>
    <w:rsid w:val="0017408F"/>
    <w:rsid w:val="00174556"/>
    <w:rsid w:val="00176E5A"/>
    <w:rsid w:val="00181EA3"/>
    <w:rsid w:val="00184B04"/>
    <w:rsid w:val="00184F59"/>
    <w:rsid w:val="0018660B"/>
    <w:rsid w:val="00186A9A"/>
    <w:rsid w:val="00187EC9"/>
    <w:rsid w:val="001966F1"/>
    <w:rsid w:val="0019684D"/>
    <w:rsid w:val="00197570"/>
    <w:rsid w:val="001A166E"/>
    <w:rsid w:val="001A2323"/>
    <w:rsid w:val="001A2DF2"/>
    <w:rsid w:val="001A3ED1"/>
    <w:rsid w:val="001A4104"/>
    <w:rsid w:val="001A5A90"/>
    <w:rsid w:val="001A5E84"/>
    <w:rsid w:val="001B1DF7"/>
    <w:rsid w:val="001B1EE8"/>
    <w:rsid w:val="001B4936"/>
    <w:rsid w:val="001B64C5"/>
    <w:rsid w:val="001B6A6B"/>
    <w:rsid w:val="001D32B0"/>
    <w:rsid w:val="001D3FA1"/>
    <w:rsid w:val="001D6E4D"/>
    <w:rsid w:val="001E0D5F"/>
    <w:rsid w:val="001E1CA1"/>
    <w:rsid w:val="001E432D"/>
    <w:rsid w:val="001E4376"/>
    <w:rsid w:val="001E4F39"/>
    <w:rsid w:val="001E73BE"/>
    <w:rsid w:val="001E777B"/>
    <w:rsid w:val="001F44F1"/>
    <w:rsid w:val="001F45EE"/>
    <w:rsid w:val="00200ED1"/>
    <w:rsid w:val="0020139F"/>
    <w:rsid w:val="00203A06"/>
    <w:rsid w:val="00207266"/>
    <w:rsid w:val="002106D6"/>
    <w:rsid w:val="00211D49"/>
    <w:rsid w:val="00213622"/>
    <w:rsid w:val="002142C0"/>
    <w:rsid w:val="002145E8"/>
    <w:rsid w:val="00215CBC"/>
    <w:rsid w:val="00216DA4"/>
    <w:rsid w:val="00217D59"/>
    <w:rsid w:val="0022283C"/>
    <w:rsid w:val="00223020"/>
    <w:rsid w:val="002238E0"/>
    <w:rsid w:val="00223B58"/>
    <w:rsid w:val="00224118"/>
    <w:rsid w:val="00230661"/>
    <w:rsid w:val="00231ECE"/>
    <w:rsid w:val="00235A68"/>
    <w:rsid w:val="00236798"/>
    <w:rsid w:val="00236E50"/>
    <w:rsid w:val="00242092"/>
    <w:rsid w:val="00242175"/>
    <w:rsid w:val="0024353B"/>
    <w:rsid w:val="00250540"/>
    <w:rsid w:val="00250F0D"/>
    <w:rsid w:val="0025204D"/>
    <w:rsid w:val="00253678"/>
    <w:rsid w:val="00255D8A"/>
    <w:rsid w:val="00255DBD"/>
    <w:rsid w:val="00256927"/>
    <w:rsid w:val="00264BC4"/>
    <w:rsid w:val="00265731"/>
    <w:rsid w:val="0026753D"/>
    <w:rsid w:val="00273A2B"/>
    <w:rsid w:val="002759C3"/>
    <w:rsid w:val="00280725"/>
    <w:rsid w:val="0028162C"/>
    <w:rsid w:val="002826CE"/>
    <w:rsid w:val="002842B0"/>
    <w:rsid w:val="002850D3"/>
    <w:rsid w:val="0028638B"/>
    <w:rsid w:val="0028653C"/>
    <w:rsid w:val="00291147"/>
    <w:rsid w:val="002912D8"/>
    <w:rsid w:val="00292684"/>
    <w:rsid w:val="00293170"/>
    <w:rsid w:val="002941C0"/>
    <w:rsid w:val="002943D4"/>
    <w:rsid w:val="00296621"/>
    <w:rsid w:val="00296A9A"/>
    <w:rsid w:val="002A07BA"/>
    <w:rsid w:val="002A1D45"/>
    <w:rsid w:val="002A2A7A"/>
    <w:rsid w:val="002A491D"/>
    <w:rsid w:val="002A6A5C"/>
    <w:rsid w:val="002B11CF"/>
    <w:rsid w:val="002B2D4B"/>
    <w:rsid w:val="002B386D"/>
    <w:rsid w:val="002B6435"/>
    <w:rsid w:val="002B6F9D"/>
    <w:rsid w:val="002C7872"/>
    <w:rsid w:val="002D0A54"/>
    <w:rsid w:val="002D0BE4"/>
    <w:rsid w:val="002D1860"/>
    <w:rsid w:val="002D1C20"/>
    <w:rsid w:val="002D1E42"/>
    <w:rsid w:val="002D1F55"/>
    <w:rsid w:val="002D2F56"/>
    <w:rsid w:val="002D2F61"/>
    <w:rsid w:val="002D342F"/>
    <w:rsid w:val="002D7ACE"/>
    <w:rsid w:val="002D7BB8"/>
    <w:rsid w:val="002D7F8A"/>
    <w:rsid w:val="002E0805"/>
    <w:rsid w:val="002E2E4A"/>
    <w:rsid w:val="002E4045"/>
    <w:rsid w:val="002E479E"/>
    <w:rsid w:val="002E4F39"/>
    <w:rsid w:val="002E6556"/>
    <w:rsid w:val="002E68F3"/>
    <w:rsid w:val="002F35E9"/>
    <w:rsid w:val="002F6525"/>
    <w:rsid w:val="002F7292"/>
    <w:rsid w:val="00301AEF"/>
    <w:rsid w:val="00302E13"/>
    <w:rsid w:val="00305456"/>
    <w:rsid w:val="0030788D"/>
    <w:rsid w:val="00311B71"/>
    <w:rsid w:val="00312D1D"/>
    <w:rsid w:val="003137B6"/>
    <w:rsid w:val="003157A1"/>
    <w:rsid w:val="00315CCD"/>
    <w:rsid w:val="00317247"/>
    <w:rsid w:val="0032017D"/>
    <w:rsid w:val="00324D41"/>
    <w:rsid w:val="00326612"/>
    <w:rsid w:val="00333EC5"/>
    <w:rsid w:val="003345A0"/>
    <w:rsid w:val="00335190"/>
    <w:rsid w:val="00336688"/>
    <w:rsid w:val="00337CD9"/>
    <w:rsid w:val="003406C0"/>
    <w:rsid w:val="0034158E"/>
    <w:rsid w:val="00343528"/>
    <w:rsid w:val="003439B2"/>
    <w:rsid w:val="00347FB5"/>
    <w:rsid w:val="003507CF"/>
    <w:rsid w:val="003525C1"/>
    <w:rsid w:val="00355FA9"/>
    <w:rsid w:val="0035702C"/>
    <w:rsid w:val="00360999"/>
    <w:rsid w:val="0036131C"/>
    <w:rsid w:val="00362598"/>
    <w:rsid w:val="003629E4"/>
    <w:rsid w:val="00363200"/>
    <w:rsid w:val="00363837"/>
    <w:rsid w:val="0036524B"/>
    <w:rsid w:val="00365B88"/>
    <w:rsid w:val="0036696C"/>
    <w:rsid w:val="00370769"/>
    <w:rsid w:val="00371778"/>
    <w:rsid w:val="00372AA5"/>
    <w:rsid w:val="00372AF3"/>
    <w:rsid w:val="00372F1E"/>
    <w:rsid w:val="0037496C"/>
    <w:rsid w:val="00376755"/>
    <w:rsid w:val="0037742A"/>
    <w:rsid w:val="00377784"/>
    <w:rsid w:val="003805DA"/>
    <w:rsid w:val="00382511"/>
    <w:rsid w:val="003827D6"/>
    <w:rsid w:val="00382815"/>
    <w:rsid w:val="00382D50"/>
    <w:rsid w:val="00384DD6"/>
    <w:rsid w:val="00387F28"/>
    <w:rsid w:val="00391077"/>
    <w:rsid w:val="00391394"/>
    <w:rsid w:val="0039154F"/>
    <w:rsid w:val="00393F42"/>
    <w:rsid w:val="003A076F"/>
    <w:rsid w:val="003A2062"/>
    <w:rsid w:val="003A5603"/>
    <w:rsid w:val="003B115B"/>
    <w:rsid w:val="003B7C70"/>
    <w:rsid w:val="003C1334"/>
    <w:rsid w:val="003C35A4"/>
    <w:rsid w:val="003C3BAC"/>
    <w:rsid w:val="003C3C37"/>
    <w:rsid w:val="003C52CC"/>
    <w:rsid w:val="003C72FE"/>
    <w:rsid w:val="003C789A"/>
    <w:rsid w:val="003D06EB"/>
    <w:rsid w:val="003D5044"/>
    <w:rsid w:val="003D7AAC"/>
    <w:rsid w:val="003D7FC4"/>
    <w:rsid w:val="003E18DB"/>
    <w:rsid w:val="003E2D7B"/>
    <w:rsid w:val="003E4264"/>
    <w:rsid w:val="003E4E29"/>
    <w:rsid w:val="003E54AE"/>
    <w:rsid w:val="003E6DE8"/>
    <w:rsid w:val="003F051B"/>
    <w:rsid w:val="003F0C8B"/>
    <w:rsid w:val="003F288E"/>
    <w:rsid w:val="003F4A84"/>
    <w:rsid w:val="003F4BF5"/>
    <w:rsid w:val="003F5526"/>
    <w:rsid w:val="00400483"/>
    <w:rsid w:val="00400749"/>
    <w:rsid w:val="00401BE3"/>
    <w:rsid w:val="00403180"/>
    <w:rsid w:val="00403C64"/>
    <w:rsid w:val="004060A3"/>
    <w:rsid w:val="00407BB3"/>
    <w:rsid w:val="00407D77"/>
    <w:rsid w:val="00410B4C"/>
    <w:rsid w:val="004110E4"/>
    <w:rsid w:val="00411677"/>
    <w:rsid w:val="00413B18"/>
    <w:rsid w:val="004165DF"/>
    <w:rsid w:val="00417560"/>
    <w:rsid w:val="00417A11"/>
    <w:rsid w:val="00420766"/>
    <w:rsid w:val="004218BF"/>
    <w:rsid w:val="00421990"/>
    <w:rsid w:val="0042270B"/>
    <w:rsid w:val="004235C9"/>
    <w:rsid w:val="0043000B"/>
    <w:rsid w:val="004352E1"/>
    <w:rsid w:val="004357CF"/>
    <w:rsid w:val="004362B1"/>
    <w:rsid w:val="0044003A"/>
    <w:rsid w:val="004510B9"/>
    <w:rsid w:val="00452B04"/>
    <w:rsid w:val="00453ABF"/>
    <w:rsid w:val="00453CD7"/>
    <w:rsid w:val="00454206"/>
    <w:rsid w:val="00456A6F"/>
    <w:rsid w:val="00456CC3"/>
    <w:rsid w:val="0045741F"/>
    <w:rsid w:val="004574CD"/>
    <w:rsid w:val="00461289"/>
    <w:rsid w:val="0046164A"/>
    <w:rsid w:val="00461AA4"/>
    <w:rsid w:val="00463A20"/>
    <w:rsid w:val="0046472C"/>
    <w:rsid w:val="0046566F"/>
    <w:rsid w:val="00465B4A"/>
    <w:rsid w:val="00470B77"/>
    <w:rsid w:val="004717BB"/>
    <w:rsid w:val="00475A95"/>
    <w:rsid w:val="0048206A"/>
    <w:rsid w:val="00482113"/>
    <w:rsid w:val="00485027"/>
    <w:rsid w:val="00486ECA"/>
    <w:rsid w:val="00486F9B"/>
    <w:rsid w:val="004910DB"/>
    <w:rsid w:val="00491A6D"/>
    <w:rsid w:val="00491B3F"/>
    <w:rsid w:val="00491E8A"/>
    <w:rsid w:val="00492F28"/>
    <w:rsid w:val="004A5307"/>
    <w:rsid w:val="004A533D"/>
    <w:rsid w:val="004A588F"/>
    <w:rsid w:val="004A6746"/>
    <w:rsid w:val="004A7BD1"/>
    <w:rsid w:val="004B09B8"/>
    <w:rsid w:val="004B0EC4"/>
    <w:rsid w:val="004B17F1"/>
    <w:rsid w:val="004B2211"/>
    <w:rsid w:val="004B420F"/>
    <w:rsid w:val="004B43FA"/>
    <w:rsid w:val="004B52CE"/>
    <w:rsid w:val="004B7081"/>
    <w:rsid w:val="004B7E12"/>
    <w:rsid w:val="004B7E97"/>
    <w:rsid w:val="004C0F04"/>
    <w:rsid w:val="004C2D69"/>
    <w:rsid w:val="004C3F60"/>
    <w:rsid w:val="004C4C05"/>
    <w:rsid w:val="004C4E5A"/>
    <w:rsid w:val="004C5C8C"/>
    <w:rsid w:val="004C64A2"/>
    <w:rsid w:val="004C6C1B"/>
    <w:rsid w:val="004D0835"/>
    <w:rsid w:val="004D7758"/>
    <w:rsid w:val="004D77D9"/>
    <w:rsid w:val="004E1458"/>
    <w:rsid w:val="004E39BC"/>
    <w:rsid w:val="004E47DB"/>
    <w:rsid w:val="004E7867"/>
    <w:rsid w:val="004E7FE1"/>
    <w:rsid w:val="004F05E5"/>
    <w:rsid w:val="004F0D05"/>
    <w:rsid w:val="004F2CB1"/>
    <w:rsid w:val="004F6516"/>
    <w:rsid w:val="004F7272"/>
    <w:rsid w:val="004F7B2A"/>
    <w:rsid w:val="0050081E"/>
    <w:rsid w:val="0050116E"/>
    <w:rsid w:val="00501371"/>
    <w:rsid w:val="00501AD9"/>
    <w:rsid w:val="00501BA7"/>
    <w:rsid w:val="00502F6F"/>
    <w:rsid w:val="005034DC"/>
    <w:rsid w:val="00504B27"/>
    <w:rsid w:val="00506AA1"/>
    <w:rsid w:val="005071EC"/>
    <w:rsid w:val="00512076"/>
    <w:rsid w:val="00512A1C"/>
    <w:rsid w:val="005138DC"/>
    <w:rsid w:val="00514F2A"/>
    <w:rsid w:val="00516B41"/>
    <w:rsid w:val="005200E6"/>
    <w:rsid w:val="00520464"/>
    <w:rsid w:val="00521F02"/>
    <w:rsid w:val="005255CB"/>
    <w:rsid w:val="00527857"/>
    <w:rsid w:val="005278D7"/>
    <w:rsid w:val="00527C46"/>
    <w:rsid w:val="00530097"/>
    <w:rsid w:val="005341DB"/>
    <w:rsid w:val="0053570E"/>
    <w:rsid w:val="00536208"/>
    <w:rsid w:val="005364C6"/>
    <w:rsid w:val="00536A8E"/>
    <w:rsid w:val="00537024"/>
    <w:rsid w:val="005452A3"/>
    <w:rsid w:val="005460BA"/>
    <w:rsid w:val="00550A66"/>
    <w:rsid w:val="00551808"/>
    <w:rsid w:val="0055231A"/>
    <w:rsid w:val="00553106"/>
    <w:rsid w:val="005546B3"/>
    <w:rsid w:val="00556240"/>
    <w:rsid w:val="005569CA"/>
    <w:rsid w:val="00564EDF"/>
    <w:rsid w:val="00571A72"/>
    <w:rsid w:val="005724E5"/>
    <w:rsid w:val="00572A1C"/>
    <w:rsid w:val="005741A8"/>
    <w:rsid w:val="00574318"/>
    <w:rsid w:val="005759DC"/>
    <w:rsid w:val="005761F4"/>
    <w:rsid w:val="005766E5"/>
    <w:rsid w:val="00581D72"/>
    <w:rsid w:val="0058338E"/>
    <w:rsid w:val="0058625C"/>
    <w:rsid w:val="0058742F"/>
    <w:rsid w:val="00587EC4"/>
    <w:rsid w:val="00591F48"/>
    <w:rsid w:val="00594A9D"/>
    <w:rsid w:val="005A2382"/>
    <w:rsid w:val="005A241E"/>
    <w:rsid w:val="005A26B3"/>
    <w:rsid w:val="005A55B5"/>
    <w:rsid w:val="005A671F"/>
    <w:rsid w:val="005B0BFE"/>
    <w:rsid w:val="005B45A3"/>
    <w:rsid w:val="005B4D16"/>
    <w:rsid w:val="005B5153"/>
    <w:rsid w:val="005B638B"/>
    <w:rsid w:val="005C252C"/>
    <w:rsid w:val="005C26C5"/>
    <w:rsid w:val="005C3860"/>
    <w:rsid w:val="005C6A65"/>
    <w:rsid w:val="005C7805"/>
    <w:rsid w:val="005D0AF9"/>
    <w:rsid w:val="005D1EE3"/>
    <w:rsid w:val="005D2121"/>
    <w:rsid w:val="005D2D6A"/>
    <w:rsid w:val="005D7AFD"/>
    <w:rsid w:val="005D7E1A"/>
    <w:rsid w:val="005E222F"/>
    <w:rsid w:val="005E5D55"/>
    <w:rsid w:val="005E7CE2"/>
    <w:rsid w:val="005F2118"/>
    <w:rsid w:val="005F2DFF"/>
    <w:rsid w:val="005F3386"/>
    <w:rsid w:val="005F3FA8"/>
    <w:rsid w:val="005F410C"/>
    <w:rsid w:val="005F42C3"/>
    <w:rsid w:val="005F42FA"/>
    <w:rsid w:val="005F5FA0"/>
    <w:rsid w:val="00600179"/>
    <w:rsid w:val="00600185"/>
    <w:rsid w:val="006014D0"/>
    <w:rsid w:val="00602327"/>
    <w:rsid w:val="0061215E"/>
    <w:rsid w:val="0061443C"/>
    <w:rsid w:val="00615AFC"/>
    <w:rsid w:val="00616130"/>
    <w:rsid w:val="006168AA"/>
    <w:rsid w:val="0061703E"/>
    <w:rsid w:val="0061743D"/>
    <w:rsid w:val="00617C08"/>
    <w:rsid w:val="00620A5E"/>
    <w:rsid w:val="00622120"/>
    <w:rsid w:val="00622241"/>
    <w:rsid w:val="0062250D"/>
    <w:rsid w:val="00622621"/>
    <w:rsid w:val="00622F02"/>
    <w:rsid w:val="0062439E"/>
    <w:rsid w:val="006251F5"/>
    <w:rsid w:val="0062653D"/>
    <w:rsid w:val="00627859"/>
    <w:rsid w:val="006337A8"/>
    <w:rsid w:val="00635757"/>
    <w:rsid w:val="0064076C"/>
    <w:rsid w:val="0064110E"/>
    <w:rsid w:val="00641235"/>
    <w:rsid w:val="00641242"/>
    <w:rsid w:val="00646AAF"/>
    <w:rsid w:val="00647776"/>
    <w:rsid w:val="006505E2"/>
    <w:rsid w:val="00650AF6"/>
    <w:rsid w:val="00651561"/>
    <w:rsid w:val="006559EC"/>
    <w:rsid w:val="006574CB"/>
    <w:rsid w:val="0065796E"/>
    <w:rsid w:val="00664563"/>
    <w:rsid w:val="00664D04"/>
    <w:rsid w:val="00665025"/>
    <w:rsid w:val="00665187"/>
    <w:rsid w:val="00665656"/>
    <w:rsid w:val="00666478"/>
    <w:rsid w:val="00666521"/>
    <w:rsid w:val="006665AB"/>
    <w:rsid w:val="00666ED4"/>
    <w:rsid w:val="006700F3"/>
    <w:rsid w:val="006708B4"/>
    <w:rsid w:val="006721D6"/>
    <w:rsid w:val="006730E3"/>
    <w:rsid w:val="00674BFC"/>
    <w:rsid w:val="0067596A"/>
    <w:rsid w:val="00676779"/>
    <w:rsid w:val="006771C6"/>
    <w:rsid w:val="0068176B"/>
    <w:rsid w:val="006817FB"/>
    <w:rsid w:val="00681EFC"/>
    <w:rsid w:val="006838F1"/>
    <w:rsid w:val="0068420C"/>
    <w:rsid w:val="006846B6"/>
    <w:rsid w:val="00685A75"/>
    <w:rsid w:val="00686622"/>
    <w:rsid w:val="00686EEF"/>
    <w:rsid w:val="00690F6B"/>
    <w:rsid w:val="0069109E"/>
    <w:rsid w:val="00692552"/>
    <w:rsid w:val="00692D8A"/>
    <w:rsid w:val="00697032"/>
    <w:rsid w:val="006975D0"/>
    <w:rsid w:val="006A184D"/>
    <w:rsid w:val="006A3906"/>
    <w:rsid w:val="006A4655"/>
    <w:rsid w:val="006A774B"/>
    <w:rsid w:val="006B14FD"/>
    <w:rsid w:val="006B1853"/>
    <w:rsid w:val="006B1A8F"/>
    <w:rsid w:val="006B387F"/>
    <w:rsid w:val="006B4A94"/>
    <w:rsid w:val="006B5533"/>
    <w:rsid w:val="006B6136"/>
    <w:rsid w:val="006B6929"/>
    <w:rsid w:val="006B6949"/>
    <w:rsid w:val="006C27C7"/>
    <w:rsid w:val="006C3B34"/>
    <w:rsid w:val="006C425D"/>
    <w:rsid w:val="006C4E05"/>
    <w:rsid w:val="006C5A38"/>
    <w:rsid w:val="006C60B3"/>
    <w:rsid w:val="006C6832"/>
    <w:rsid w:val="006D0298"/>
    <w:rsid w:val="006D0580"/>
    <w:rsid w:val="006D0E09"/>
    <w:rsid w:val="006D1182"/>
    <w:rsid w:val="006D1AD1"/>
    <w:rsid w:val="006D3549"/>
    <w:rsid w:val="006D40CF"/>
    <w:rsid w:val="006D4121"/>
    <w:rsid w:val="006D4CB6"/>
    <w:rsid w:val="006D6055"/>
    <w:rsid w:val="006E07B1"/>
    <w:rsid w:val="006E1D56"/>
    <w:rsid w:val="006E3C98"/>
    <w:rsid w:val="006E55CE"/>
    <w:rsid w:val="006E7D60"/>
    <w:rsid w:val="006F014C"/>
    <w:rsid w:val="006F13B4"/>
    <w:rsid w:val="006F24B0"/>
    <w:rsid w:val="006F3116"/>
    <w:rsid w:val="006F3FB9"/>
    <w:rsid w:val="006F4000"/>
    <w:rsid w:val="006F5D4B"/>
    <w:rsid w:val="006F7040"/>
    <w:rsid w:val="006F7920"/>
    <w:rsid w:val="00704F3F"/>
    <w:rsid w:val="007051AA"/>
    <w:rsid w:val="00706994"/>
    <w:rsid w:val="007071B5"/>
    <w:rsid w:val="00707B2F"/>
    <w:rsid w:val="00711752"/>
    <w:rsid w:val="007123CB"/>
    <w:rsid w:val="00713190"/>
    <w:rsid w:val="0071477B"/>
    <w:rsid w:val="007148E7"/>
    <w:rsid w:val="007160CE"/>
    <w:rsid w:val="00721748"/>
    <w:rsid w:val="0072657B"/>
    <w:rsid w:val="007265E4"/>
    <w:rsid w:val="0073126C"/>
    <w:rsid w:val="00732862"/>
    <w:rsid w:val="0073696B"/>
    <w:rsid w:val="00737B12"/>
    <w:rsid w:val="0074149C"/>
    <w:rsid w:val="007416B7"/>
    <w:rsid w:val="007417FB"/>
    <w:rsid w:val="00743C6A"/>
    <w:rsid w:val="00744F80"/>
    <w:rsid w:val="007461CA"/>
    <w:rsid w:val="00746544"/>
    <w:rsid w:val="00746B9D"/>
    <w:rsid w:val="00747235"/>
    <w:rsid w:val="00747834"/>
    <w:rsid w:val="00747F9C"/>
    <w:rsid w:val="007521AC"/>
    <w:rsid w:val="00752817"/>
    <w:rsid w:val="007547B4"/>
    <w:rsid w:val="00761523"/>
    <w:rsid w:val="00764FE0"/>
    <w:rsid w:val="00766628"/>
    <w:rsid w:val="007678F1"/>
    <w:rsid w:val="00770D73"/>
    <w:rsid w:val="007749F2"/>
    <w:rsid w:val="0077509B"/>
    <w:rsid w:val="00776588"/>
    <w:rsid w:val="0077659E"/>
    <w:rsid w:val="00780267"/>
    <w:rsid w:val="0078253A"/>
    <w:rsid w:val="007879FB"/>
    <w:rsid w:val="00790360"/>
    <w:rsid w:val="007945F2"/>
    <w:rsid w:val="007A0B23"/>
    <w:rsid w:val="007A1614"/>
    <w:rsid w:val="007A1948"/>
    <w:rsid w:val="007A194C"/>
    <w:rsid w:val="007A4D89"/>
    <w:rsid w:val="007A4DCA"/>
    <w:rsid w:val="007B0731"/>
    <w:rsid w:val="007B0BEF"/>
    <w:rsid w:val="007B28D8"/>
    <w:rsid w:val="007B4172"/>
    <w:rsid w:val="007B4F45"/>
    <w:rsid w:val="007B6C7E"/>
    <w:rsid w:val="007C1B4D"/>
    <w:rsid w:val="007C4ACE"/>
    <w:rsid w:val="007C4D99"/>
    <w:rsid w:val="007D108B"/>
    <w:rsid w:val="007D37A9"/>
    <w:rsid w:val="007E2E6F"/>
    <w:rsid w:val="007E3519"/>
    <w:rsid w:val="007E3BD1"/>
    <w:rsid w:val="007E55C6"/>
    <w:rsid w:val="007E57D2"/>
    <w:rsid w:val="007E5CCC"/>
    <w:rsid w:val="007E5DA8"/>
    <w:rsid w:val="007F1DFA"/>
    <w:rsid w:val="007F317D"/>
    <w:rsid w:val="007F3350"/>
    <w:rsid w:val="007F6741"/>
    <w:rsid w:val="007F73C6"/>
    <w:rsid w:val="007F7AAD"/>
    <w:rsid w:val="00800A2F"/>
    <w:rsid w:val="00802422"/>
    <w:rsid w:val="00803856"/>
    <w:rsid w:val="00803EAF"/>
    <w:rsid w:val="00807B70"/>
    <w:rsid w:val="0081323A"/>
    <w:rsid w:val="00815BBF"/>
    <w:rsid w:val="008166A7"/>
    <w:rsid w:val="00817751"/>
    <w:rsid w:val="00821DE3"/>
    <w:rsid w:val="00821F2B"/>
    <w:rsid w:val="00824B03"/>
    <w:rsid w:val="00826469"/>
    <w:rsid w:val="00826B01"/>
    <w:rsid w:val="00831CD7"/>
    <w:rsid w:val="008333AA"/>
    <w:rsid w:val="00834D16"/>
    <w:rsid w:val="00837EEC"/>
    <w:rsid w:val="00840C76"/>
    <w:rsid w:val="00842D4E"/>
    <w:rsid w:val="008440AE"/>
    <w:rsid w:val="0084426F"/>
    <w:rsid w:val="00844C88"/>
    <w:rsid w:val="008465A0"/>
    <w:rsid w:val="00846B1F"/>
    <w:rsid w:val="008515B8"/>
    <w:rsid w:val="00851759"/>
    <w:rsid w:val="00853164"/>
    <w:rsid w:val="00853B15"/>
    <w:rsid w:val="00853CAD"/>
    <w:rsid w:val="008556EB"/>
    <w:rsid w:val="0085595A"/>
    <w:rsid w:val="00860E92"/>
    <w:rsid w:val="0086326B"/>
    <w:rsid w:val="0086461E"/>
    <w:rsid w:val="0086467B"/>
    <w:rsid w:val="00865202"/>
    <w:rsid w:val="00865858"/>
    <w:rsid w:val="00866DE0"/>
    <w:rsid w:val="00872C76"/>
    <w:rsid w:val="00873595"/>
    <w:rsid w:val="00881346"/>
    <w:rsid w:val="008A02C3"/>
    <w:rsid w:val="008A1327"/>
    <w:rsid w:val="008A1FC9"/>
    <w:rsid w:val="008A2843"/>
    <w:rsid w:val="008A77EE"/>
    <w:rsid w:val="008B2254"/>
    <w:rsid w:val="008B278B"/>
    <w:rsid w:val="008B36CE"/>
    <w:rsid w:val="008B4423"/>
    <w:rsid w:val="008B5C3D"/>
    <w:rsid w:val="008B7617"/>
    <w:rsid w:val="008B77DA"/>
    <w:rsid w:val="008C1C80"/>
    <w:rsid w:val="008C323D"/>
    <w:rsid w:val="008C5576"/>
    <w:rsid w:val="008C7AF8"/>
    <w:rsid w:val="008D04A0"/>
    <w:rsid w:val="008D0A54"/>
    <w:rsid w:val="008D212B"/>
    <w:rsid w:val="008D4111"/>
    <w:rsid w:val="008D6B2C"/>
    <w:rsid w:val="008D717F"/>
    <w:rsid w:val="008D7810"/>
    <w:rsid w:val="008E08B2"/>
    <w:rsid w:val="008E0AD2"/>
    <w:rsid w:val="008E16C2"/>
    <w:rsid w:val="008E3B08"/>
    <w:rsid w:val="008E4377"/>
    <w:rsid w:val="008E6A38"/>
    <w:rsid w:val="008F1127"/>
    <w:rsid w:val="008F19E7"/>
    <w:rsid w:val="008F3DEC"/>
    <w:rsid w:val="008F50E0"/>
    <w:rsid w:val="008F611D"/>
    <w:rsid w:val="008F709C"/>
    <w:rsid w:val="00901B95"/>
    <w:rsid w:val="00901D1C"/>
    <w:rsid w:val="009044A5"/>
    <w:rsid w:val="00905342"/>
    <w:rsid w:val="00906479"/>
    <w:rsid w:val="009071E2"/>
    <w:rsid w:val="00911845"/>
    <w:rsid w:val="00911C1C"/>
    <w:rsid w:val="00916745"/>
    <w:rsid w:val="009177D2"/>
    <w:rsid w:val="00920407"/>
    <w:rsid w:val="0092281C"/>
    <w:rsid w:val="00924430"/>
    <w:rsid w:val="00924458"/>
    <w:rsid w:val="0092500C"/>
    <w:rsid w:val="00926A5B"/>
    <w:rsid w:val="009271EF"/>
    <w:rsid w:val="00927B80"/>
    <w:rsid w:val="00931027"/>
    <w:rsid w:val="00936DB9"/>
    <w:rsid w:val="00937E52"/>
    <w:rsid w:val="009403E7"/>
    <w:rsid w:val="00941229"/>
    <w:rsid w:val="009415EF"/>
    <w:rsid w:val="009423D5"/>
    <w:rsid w:val="009432D5"/>
    <w:rsid w:val="00943F49"/>
    <w:rsid w:val="00944892"/>
    <w:rsid w:val="009463BF"/>
    <w:rsid w:val="009473BC"/>
    <w:rsid w:val="00951549"/>
    <w:rsid w:val="009525F9"/>
    <w:rsid w:val="00953E07"/>
    <w:rsid w:val="00956112"/>
    <w:rsid w:val="00961575"/>
    <w:rsid w:val="009623EE"/>
    <w:rsid w:val="00962A77"/>
    <w:rsid w:val="009673EE"/>
    <w:rsid w:val="00973627"/>
    <w:rsid w:val="009757A4"/>
    <w:rsid w:val="00976396"/>
    <w:rsid w:val="00976A0D"/>
    <w:rsid w:val="0097726C"/>
    <w:rsid w:val="00977674"/>
    <w:rsid w:val="00980930"/>
    <w:rsid w:val="009839AD"/>
    <w:rsid w:val="00985FF4"/>
    <w:rsid w:val="009868C3"/>
    <w:rsid w:val="0099104F"/>
    <w:rsid w:val="00996638"/>
    <w:rsid w:val="00997842"/>
    <w:rsid w:val="00997B51"/>
    <w:rsid w:val="00997D79"/>
    <w:rsid w:val="009A2798"/>
    <w:rsid w:val="009A319E"/>
    <w:rsid w:val="009A5A63"/>
    <w:rsid w:val="009A5DC6"/>
    <w:rsid w:val="009A6549"/>
    <w:rsid w:val="009A6DC0"/>
    <w:rsid w:val="009A6E74"/>
    <w:rsid w:val="009A7548"/>
    <w:rsid w:val="009B0069"/>
    <w:rsid w:val="009B051D"/>
    <w:rsid w:val="009B4DA6"/>
    <w:rsid w:val="009B5F8A"/>
    <w:rsid w:val="009B60BA"/>
    <w:rsid w:val="009C375C"/>
    <w:rsid w:val="009C59C7"/>
    <w:rsid w:val="009D1C83"/>
    <w:rsid w:val="009D21BE"/>
    <w:rsid w:val="009D36D1"/>
    <w:rsid w:val="009D37D6"/>
    <w:rsid w:val="009D4947"/>
    <w:rsid w:val="009D4969"/>
    <w:rsid w:val="009D6B59"/>
    <w:rsid w:val="009D7A26"/>
    <w:rsid w:val="009E091A"/>
    <w:rsid w:val="009E0C7E"/>
    <w:rsid w:val="009E18DF"/>
    <w:rsid w:val="009E2067"/>
    <w:rsid w:val="009E312E"/>
    <w:rsid w:val="009E77F1"/>
    <w:rsid w:val="009E7BE5"/>
    <w:rsid w:val="009F1177"/>
    <w:rsid w:val="009F1803"/>
    <w:rsid w:val="009F1FEB"/>
    <w:rsid w:val="009F296A"/>
    <w:rsid w:val="009F2B62"/>
    <w:rsid w:val="009F2BEC"/>
    <w:rsid w:val="009F300A"/>
    <w:rsid w:val="009F4940"/>
    <w:rsid w:val="009F59B7"/>
    <w:rsid w:val="009F630E"/>
    <w:rsid w:val="009F6555"/>
    <w:rsid w:val="00A02402"/>
    <w:rsid w:val="00A0250D"/>
    <w:rsid w:val="00A026F0"/>
    <w:rsid w:val="00A044D9"/>
    <w:rsid w:val="00A060F7"/>
    <w:rsid w:val="00A064FF"/>
    <w:rsid w:val="00A126C7"/>
    <w:rsid w:val="00A12C8E"/>
    <w:rsid w:val="00A147F6"/>
    <w:rsid w:val="00A22B25"/>
    <w:rsid w:val="00A23941"/>
    <w:rsid w:val="00A26617"/>
    <w:rsid w:val="00A316BF"/>
    <w:rsid w:val="00A319CC"/>
    <w:rsid w:val="00A33905"/>
    <w:rsid w:val="00A35F28"/>
    <w:rsid w:val="00A3761C"/>
    <w:rsid w:val="00A37719"/>
    <w:rsid w:val="00A37790"/>
    <w:rsid w:val="00A3792E"/>
    <w:rsid w:val="00A37A33"/>
    <w:rsid w:val="00A37D16"/>
    <w:rsid w:val="00A415DD"/>
    <w:rsid w:val="00A46C77"/>
    <w:rsid w:val="00A511F4"/>
    <w:rsid w:val="00A527E1"/>
    <w:rsid w:val="00A529A4"/>
    <w:rsid w:val="00A54A64"/>
    <w:rsid w:val="00A54BAF"/>
    <w:rsid w:val="00A55403"/>
    <w:rsid w:val="00A5592A"/>
    <w:rsid w:val="00A559E6"/>
    <w:rsid w:val="00A5666A"/>
    <w:rsid w:val="00A572C0"/>
    <w:rsid w:val="00A614F6"/>
    <w:rsid w:val="00A63108"/>
    <w:rsid w:val="00A713B3"/>
    <w:rsid w:val="00A71C87"/>
    <w:rsid w:val="00A71F8E"/>
    <w:rsid w:val="00A723E6"/>
    <w:rsid w:val="00A73C0E"/>
    <w:rsid w:val="00A75492"/>
    <w:rsid w:val="00A75A69"/>
    <w:rsid w:val="00A76D97"/>
    <w:rsid w:val="00A7718E"/>
    <w:rsid w:val="00A800FF"/>
    <w:rsid w:val="00A80899"/>
    <w:rsid w:val="00A81FAC"/>
    <w:rsid w:val="00A8272B"/>
    <w:rsid w:val="00A832A6"/>
    <w:rsid w:val="00A836F8"/>
    <w:rsid w:val="00A925C8"/>
    <w:rsid w:val="00A94E11"/>
    <w:rsid w:val="00AA6D71"/>
    <w:rsid w:val="00AA73E8"/>
    <w:rsid w:val="00AA7BF5"/>
    <w:rsid w:val="00AB28EB"/>
    <w:rsid w:val="00AB429B"/>
    <w:rsid w:val="00AB4A79"/>
    <w:rsid w:val="00AB5D85"/>
    <w:rsid w:val="00AB7EF8"/>
    <w:rsid w:val="00AC0565"/>
    <w:rsid w:val="00AC09F0"/>
    <w:rsid w:val="00AC13BC"/>
    <w:rsid w:val="00AC1680"/>
    <w:rsid w:val="00AC3135"/>
    <w:rsid w:val="00AC3FFF"/>
    <w:rsid w:val="00AC4A97"/>
    <w:rsid w:val="00AD2504"/>
    <w:rsid w:val="00AD3524"/>
    <w:rsid w:val="00AD4DBA"/>
    <w:rsid w:val="00AE0152"/>
    <w:rsid w:val="00AE0224"/>
    <w:rsid w:val="00AE1F6B"/>
    <w:rsid w:val="00AE3C4F"/>
    <w:rsid w:val="00AE468B"/>
    <w:rsid w:val="00AE5FE5"/>
    <w:rsid w:val="00AE6C99"/>
    <w:rsid w:val="00AE793C"/>
    <w:rsid w:val="00AF010E"/>
    <w:rsid w:val="00AF0406"/>
    <w:rsid w:val="00AF0820"/>
    <w:rsid w:val="00AF2181"/>
    <w:rsid w:val="00AF2A90"/>
    <w:rsid w:val="00AF3247"/>
    <w:rsid w:val="00AF33EB"/>
    <w:rsid w:val="00AF3FFE"/>
    <w:rsid w:val="00AF5C74"/>
    <w:rsid w:val="00AF6535"/>
    <w:rsid w:val="00AF6FEE"/>
    <w:rsid w:val="00AF77C1"/>
    <w:rsid w:val="00B00740"/>
    <w:rsid w:val="00B00A19"/>
    <w:rsid w:val="00B016A8"/>
    <w:rsid w:val="00B02672"/>
    <w:rsid w:val="00B02E51"/>
    <w:rsid w:val="00B035C7"/>
    <w:rsid w:val="00B0361F"/>
    <w:rsid w:val="00B03C11"/>
    <w:rsid w:val="00B04BF4"/>
    <w:rsid w:val="00B0758C"/>
    <w:rsid w:val="00B075D6"/>
    <w:rsid w:val="00B123EB"/>
    <w:rsid w:val="00B144EC"/>
    <w:rsid w:val="00B145D7"/>
    <w:rsid w:val="00B15481"/>
    <w:rsid w:val="00B168EA"/>
    <w:rsid w:val="00B22B02"/>
    <w:rsid w:val="00B22F05"/>
    <w:rsid w:val="00B3246D"/>
    <w:rsid w:val="00B333C8"/>
    <w:rsid w:val="00B355C7"/>
    <w:rsid w:val="00B36BBB"/>
    <w:rsid w:val="00B36CB5"/>
    <w:rsid w:val="00B374B1"/>
    <w:rsid w:val="00B375DF"/>
    <w:rsid w:val="00B40A33"/>
    <w:rsid w:val="00B410CF"/>
    <w:rsid w:val="00B41FF0"/>
    <w:rsid w:val="00B427D1"/>
    <w:rsid w:val="00B4333A"/>
    <w:rsid w:val="00B44147"/>
    <w:rsid w:val="00B44A01"/>
    <w:rsid w:val="00B46BD7"/>
    <w:rsid w:val="00B47010"/>
    <w:rsid w:val="00B517FB"/>
    <w:rsid w:val="00B555CF"/>
    <w:rsid w:val="00B55765"/>
    <w:rsid w:val="00B56C8C"/>
    <w:rsid w:val="00B6198B"/>
    <w:rsid w:val="00B634AE"/>
    <w:rsid w:val="00B6435B"/>
    <w:rsid w:val="00B65B9A"/>
    <w:rsid w:val="00B671D5"/>
    <w:rsid w:val="00B70CDC"/>
    <w:rsid w:val="00B73BD7"/>
    <w:rsid w:val="00B749FC"/>
    <w:rsid w:val="00B75800"/>
    <w:rsid w:val="00B776AD"/>
    <w:rsid w:val="00B80501"/>
    <w:rsid w:val="00B8055E"/>
    <w:rsid w:val="00B83DFC"/>
    <w:rsid w:val="00B84FD8"/>
    <w:rsid w:val="00B85C6F"/>
    <w:rsid w:val="00B8666B"/>
    <w:rsid w:val="00B87935"/>
    <w:rsid w:val="00B92A64"/>
    <w:rsid w:val="00BA10F7"/>
    <w:rsid w:val="00BA48F1"/>
    <w:rsid w:val="00BA4D3B"/>
    <w:rsid w:val="00BA71B9"/>
    <w:rsid w:val="00BA7B28"/>
    <w:rsid w:val="00BB245C"/>
    <w:rsid w:val="00BB2947"/>
    <w:rsid w:val="00BB43CD"/>
    <w:rsid w:val="00BB4D4D"/>
    <w:rsid w:val="00BB52A4"/>
    <w:rsid w:val="00BB53D8"/>
    <w:rsid w:val="00BB74F5"/>
    <w:rsid w:val="00BC1B10"/>
    <w:rsid w:val="00BC68D6"/>
    <w:rsid w:val="00BC72AB"/>
    <w:rsid w:val="00BD07D3"/>
    <w:rsid w:val="00BD0F49"/>
    <w:rsid w:val="00BD1219"/>
    <w:rsid w:val="00BD1557"/>
    <w:rsid w:val="00BD1FC9"/>
    <w:rsid w:val="00BD2AFA"/>
    <w:rsid w:val="00BD31DC"/>
    <w:rsid w:val="00BD5148"/>
    <w:rsid w:val="00BD6328"/>
    <w:rsid w:val="00BD6725"/>
    <w:rsid w:val="00BE0B96"/>
    <w:rsid w:val="00BE10BD"/>
    <w:rsid w:val="00BE3655"/>
    <w:rsid w:val="00BE424F"/>
    <w:rsid w:val="00BE5385"/>
    <w:rsid w:val="00BE58E5"/>
    <w:rsid w:val="00BE7711"/>
    <w:rsid w:val="00BF13B2"/>
    <w:rsid w:val="00BF2B1E"/>
    <w:rsid w:val="00BF3967"/>
    <w:rsid w:val="00BF745D"/>
    <w:rsid w:val="00C01B6A"/>
    <w:rsid w:val="00C04144"/>
    <w:rsid w:val="00C0575D"/>
    <w:rsid w:val="00C07554"/>
    <w:rsid w:val="00C079AE"/>
    <w:rsid w:val="00C07B8F"/>
    <w:rsid w:val="00C100E0"/>
    <w:rsid w:val="00C10920"/>
    <w:rsid w:val="00C123AD"/>
    <w:rsid w:val="00C142B8"/>
    <w:rsid w:val="00C14F94"/>
    <w:rsid w:val="00C155AC"/>
    <w:rsid w:val="00C1765A"/>
    <w:rsid w:val="00C22035"/>
    <w:rsid w:val="00C23C1D"/>
    <w:rsid w:val="00C24C22"/>
    <w:rsid w:val="00C251B5"/>
    <w:rsid w:val="00C31719"/>
    <w:rsid w:val="00C34062"/>
    <w:rsid w:val="00C363B3"/>
    <w:rsid w:val="00C36A71"/>
    <w:rsid w:val="00C4252D"/>
    <w:rsid w:val="00C42F29"/>
    <w:rsid w:val="00C43688"/>
    <w:rsid w:val="00C50040"/>
    <w:rsid w:val="00C5182B"/>
    <w:rsid w:val="00C60BC5"/>
    <w:rsid w:val="00C61528"/>
    <w:rsid w:val="00C61A07"/>
    <w:rsid w:val="00C66EC6"/>
    <w:rsid w:val="00C7256C"/>
    <w:rsid w:val="00C7591E"/>
    <w:rsid w:val="00C7614C"/>
    <w:rsid w:val="00C81149"/>
    <w:rsid w:val="00C82531"/>
    <w:rsid w:val="00C826B3"/>
    <w:rsid w:val="00C850FF"/>
    <w:rsid w:val="00C87C31"/>
    <w:rsid w:val="00C87E35"/>
    <w:rsid w:val="00C93EF3"/>
    <w:rsid w:val="00C94BF6"/>
    <w:rsid w:val="00C965FB"/>
    <w:rsid w:val="00CA01AD"/>
    <w:rsid w:val="00CA080B"/>
    <w:rsid w:val="00CA198C"/>
    <w:rsid w:val="00CA20A8"/>
    <w:rsid w:val="00CA332E"/>
    <w:rsid w:val="00CA3F9D"/>
    <w:rsid w:val="00CA5C9D"/>
    <w:rsid w:val="00CA7E96"/>
    <w:rsid w:val="00CB0663"/>
    <w:rsid w:val="00CB073D"/>
    <w:rsid w:val="00CB1460"/>
    <w:rsid w:val="00CB25A7"/>
    <w:rsid w:val="00CB5F54"/>
    <w:rsid w:val="00CC6015"/>
    <w:rsid w:val="00CC6DC5"/>
    <w:rsid w:val="00CD0557"/>
    <w:rsid w:val="00CD0E04"/>
    <w:rsid w:val="00CD5151"/>
    <w:rsid w:val="00CD7E35"/>
    <w:rsid w:val="00CE3379"/>
    <w:rsid w:val="00CE3990"/>
    <w:rsid w:val="00CE5B49"/>
    <w:rsid w:val="00CF0A48"/>
    <w:rsid w:val="00CF0A94"/>
    <w:rsid w:val="00CF0B91"/>
    <w:rsid w:val="00CF79F2"/>
    <w:rsid w:val="00D00423"/>
    <w:rsid w:val="00D01497"/>
    <w:rsid w:val="00D02370"/>
    <w:rsid w:val="00D02EC3"/>
    <w:rsid w:val="00D072A0"/>
    <w:rsid w:val="00D074A2"/>
    <w:rsid w:val="00D07547"/>
    <w:rsid w:val="00D1041C"/>
    <w:rsid w:val="00D11EA1"/>
    <w:rsid w:val="00D12044"/>
    <w:rsid w:val="00D1438A"/>
    <w:rsid w:val="00D1513B"/>
    <w:rsid w:val="00D2086E"/>
    <w:rsid w:val="00D20AA7"/>
    <w:rsid w:val="00D20EA0"/>
    <w:rsid w:val="00D21583"/>
    <w:rsid w:val="00D2379C"/>
    <w:rsid w:val="00D241B9"/>
    <w:rsid w:val="00D25C9F"/>
    <w:rsid w:val="00D25CDB"/>
    <w:rsid w:val="00D26925"/>
    <w:rsid w:val="00D33918"/>
    <w:rsid w:val="00D40355"/>
    <w:rsid w:val="00D40E56"/>
    <w:rsid w:val="00D42937"/>
    <w:rsid w:val="00D42CDA"/>
    <w:rsid w:val="00D43CC7"/>
    <w:rsid w:val="00D43D37"/>
    <w:rsid w:val="00D4416E"/>
    <w:rsid w:val="00D44CB9"/>
    <w:rsid w:val="00D4640A"/>
    <w:rsid w:val="00D46ACF"/>
    <w:rsid w:val="00D50C14"/>
    <w:rsid w:val="00D53111"/>
    <w:rsid w:val="00D55398"/>
    <w:rsid w:val="00D55A41"/>
    <w:rsid w:val="00D56860"/>
    <w:rsid w:val="00D56A50"/>
    <w:rsid w:val="00D647C5"/>
    <w:rsid w:val="00D65732"/>
    <w:rsid w:val="00D67C87"/>
    <w:rsid w:val="00D67FF1"/>
    <w:rsid w:val="00D71D78"/>
    <w:rsid w:val="00D72304"/>
    <w:rsid w:val="00D73666"/>
    <w:rsid w:val="00D7379C"/>
    <w:rsid w:val="00D75D01"/>
    <w:rsid w:val="00D774ED"/>
    <w:rsid w:val="00D778D1"/>
    <w:rsid w:val="00D77A32"/>
    <w:rsid w:val="00D83CED"/>
    <w:rsid w:val="00D840FA"/>
    <w:rsid w:val="00D9351E"/>
    <w:rsid w:val="00D94FBC"/>
    <w:rsid w:val="00D95A27"/>
    <w:rsid w:val="00D960AC"/>
    <w:rsid w:val="00D96C67"/>
    <w:rsid w:val="00DA08D5"/>
    <w:rsid w:val="00DA161B"/>
    <w:rsid w:val="00DA2DB7"/>
    <w:rsid w:val="00DA3C29"/>
    <w:rsid w:val="00DA476A"/>
    <w:rsid w:val="00DA4C2E"/>
    <w:rsid w:val="00DA53F2"/>
    <w:rsid w:val="00DA5847"/>
    <w:rsid w:val="00DA6C64"/>
    <w:rsid w:val="00DB0EE0"/>
    <w:rsid w:val="00DB10B4"/>
    <w:rsid w:val="00DB3ABD"/>
    <w:rsid w:val="00DB5816"/>
    <w:rsid w:val="00DB7390"/>
    <w:rsid w:val="00DB7653"/>
    <w:rsid w:val="00DC3F36"/>
    <w:rsid w:val="00DC3FB6"/>
    <w:rsid w:val="00DC52B5"/>
    <w:rsid w:val="00DC53DC"/>
    <w:rsid w:val="00DC58EF"/>
    <w:rsid w:val="00DC5925"/>
    <w:rsid w:val="00DC6C4E"/>
    <w:rsid w:val="00DC73F2"/>
    <w:rsid w:val="00DD0570"/>
    <w:rsid w:val="00DD1ED5"/>
    <w:rsid w:val="00DD4300"/>
    <w:rsid w:val="00DD50DE"/>
    <w:rsid w:val="00DE142D"/>
    <w:rsid w:val="00DE2A7D"/>
    <w:rsid w:val="00DE3452"/>
    <w:rsid w:val="00DE39F1"/>
    <w:rsid w:val="00DE4B79"/>
    <w:rsid w:val="00DE6444"/>
    <w:rsid w:val="00DE6ECE"/>
    <w:rsid w:val="00DE7C64"/>
    <w:rsid w:val="00DF004D"/>
    <w:rsid w:val="00DF0827"/>
    <w:rsid w:val="00DF218B"/>
    <w:rsid w:val="00DF2F42"/>
    <w:rsid w:val="00DF501D"/>
    <w:rsid w:val="00DF699C"/>
    <w:rsid w:val="00DF729C"/>
    <w:rsid w:val="00DF7705"/>
    <w:rsid w:val="00DF7BF9"/>
    <w:rsid w:val="00E00AFD"/>
    <w:rsid w:val="00E02DD1"/>
    <w:rsid w:val="00E05861"/>
    <w:rsid w:val="00E11786"/>
    <w:rsid w:val="00E11B05"/>
    <w:rsid w:val="00E124DA"/>
    <w:rsid w:val="00E12E6B"/>
    <w:rsid w:val="00E13C1C"/>
    <w:rsid w:val="00E1465C"/>
    <w:rsid w:val="00E15B57"/>
    <w:rsid w:val="00E179A0"/>
    <w:rsid w:val="00E20824"/>
    <w:rsid w:val="00E23253"/>
    <w:rsid w:val="00E24FB5"/>
    <w:rsid w:val="00E26A58"/>
    <w:rsid w:val="00E309E1"/>
    <w:rsid w:val="00E30EE1"/>
    <w:rsid w:val="00E32C81"/>
    <w:rsid w:val="00E342E6"/>
    <w:rsid w:val="00E34506"/>
    <w:rsid w:val="00E345C2"/>
    <w:rsid w:val="00E34A66"/>
    <w:rsid w:val="00E419EC"/>
    <w:rsid w:val="00E4445C"/>
    <w:rsid w:val="00E44AC2"/>
    <w:rsid w:val="00E50AC8"/>
    <w:rsid w:val="00E5430B"/>
    <w:rsid w:val="00E5453E"/>
    <w:rsid w:val="00E55A4B"/>
    <w:rsid w:val="00E565C8"/>
    <w:rsid w:val="00E643DB"/>
    <w:rsid w:val="00E65590"/>
    <w:rsid w:val="00E656B7"/>
    <w:rsid w:val="00E6635B"/>
    <w:rsid w:val="00E67775"/>
    <w:rsid w:val="00E70B70"/>
    <w:rsid w:val="00E7440E"/>
    <w:rsid w:val="00E75F2F"/>
    <w:rsid w:val="00E764C1"/>
    <w:rsid w:val="00E76903"/>
    <w:rsid w:val="00E76A45"/>
    <w:rsid w:val="00E81149"/>
    <w:rsid w:val="00E82508"/>
    <w:rsid w:val="00E82858"/>
    <w:rsid w:val="00E85344"/>
    <w:rsid w:val="00E85496"/>
    <w:rsid w:val="00E87262"/>
    <w:rsid w:val="00E87F8E"/>
    <w:rsid w:val="00E90431"/>
    <w:rsid w:val="00E90C57"/>
    <w:rsid w:val="00E91118"/>
    <w:rsid w:val="00E9125F"/>
    <w:rsid w:val="00E91EDB"/>
    <w:rsid w:val="00E93C16"/>
    <w:rsid w:val="00E93F83"/>
    <w:rsid w:val="00E94F5C"/>
    <w:rsid w:val="00E950D0"/>
    <w:rsid w:val="00E95AFC"/>
    <w:rsid w:val="00E969F4"/>
    <w:rsid w:val="00E97132"/>
    <w:rsid w:val="00EA183C"/>
    <w:rsid w:val="00EA271E"/>
    <w:rsid w:val="00EA2F39"/>
    <w:rsid w:val="00EA4C2F"/>
    <w:rsid w:val="00EA50FF"/>
    <w:rsid w:val="00EA5B11"/>
    <w:rsid w:val="00EA6521"/>
    <w:rsid w:val="00EA6AE1"/>
    <w:rsid w:val="00EA7733"/>
    <w:rsid w:val="00EB2CB0"/>
    <w:rsid w:val="00EB3138"/>
    <w:rsid w:val="00EB3AD3"/>
    <w:rsid w:val="00EB6DF6"/>
    <w:rsid w:val="00EC2096"/>
    <w:rsid w:val="00EC21E7"/>
    <w:rsid w:val="00EC2AFE"/>
    <w:rsid w:val="00EC3101"/>
    <w:rsid w:val="00EC4F44"/>
    <w:rsid w:val="00EC7210"/>
    <w:rsid w:val="00ED0D57"/>
    <w:rsid w:val="00ED1CDA"/>
    <w:rsid w:val="00ED2571"/>
    <w:rsid w:val="00ED2875"/>
    <w:rsid w:val="00ED3EFE"/>
    <w:rsid w:val="00ED504C"/>
    <w:rsid w:val="00ED58C6"/>
    <w:rsid w:val="00ED6F4C"/>
    <w:rsid w:val="00ED7E65"/>
    <w:rsid w:val="00EE0709"/>
    <w:rsid w:val="00EE103F"/>
    <w:rsid w:val="00EE1DE7"/>
    <w:rsid w:val="00EE2010"/>
    <w:rsid w:val="00EE2B96"/>
    <w:rsid w:val="00EE35C9"/>
    <w:rsid w:val="00EE4B7B"/>
    <w:rsid w:val="00EE6CD0"/>
    <w:rsid w:val="00EF2882"/>
    <w:rsid w:val="00EF28DD"/>
    <w:rsid w:val="00EF642F"/>
    <w:rsid w:val="00EF768B"/>
    <w:rsid w:val="00F015F3"/>
    <w:rsid w:val="00F03416"/>
    <w:rsid w:val="00F046D8"/>
    <w:rsid w:val="00F053E8"/>
    <w:rsid w:val="00F06CF0"/>
    <w:rsid w:val="00F1270E"/>
    <w:rsid w:val="00F14339"/>
    <w:rsid w:val="00F1509D"/>
    <w:rsid w:val="00F163F5"/>
    <w:rsid w:val="00F171FD"/>
    <w:rsid w:val="00F25F3F"/>
    <w:rsid w:val="00F26D57"/>
    <w:rsid w:val="00F27989"/>
    <w:rsid w:val="00F31FAE"/>
    <w:rsid w:val="00F32121"/>
    <w:rsid w:val="00F334F2"/>
    <w:rsid w:val="00F345D5"/>
    <w:rsid w:val="00F35737"/>
    <w:rsid w:val="00F3614F"/>
    <w:rsid w:val="00F4051C"/>
    <w:rsid w:val="00F4081E"/>
    <w:rsid w:val="00F44E7D"/>
    <w:rsid w:val="00F45F87"/>
    <w:rsid w:val="00F46063"/>
    <w:rsid w:val="00F50C85"/>
    <w:rsid w:val="00F54B43"/>
    <w:rsid w:val="00F57626"/>
    <w:rsid w:val="00F577C5"/>
    <w:rsid w:val="00F57C7C"/>
    <w:rsid w:val="00F60D60"/>
    <w:rsid w:val="00F62AE1"/>
    <w:rsid w:val="00F63173"/>
    <w:rsid w:val="00F63EA2"/>
    <w:rsid w:val="00F6565C"/>
    <w:rsid w:val="00F65C3D"/>
    <w:rsid w:val="00F66ED9"/>
    <w:rsid w:val="00F71067"/>
    <w:rsid w:val="00F72A00"/>
    <w:rsid w:val="00F75C84"/>
    <w:rsid w:val="00F806DD"/>
    <w:rsid w:val="00F8545C"/>
    <w:rsid w:val="00F85BAE"/>
    <w:rsid w:val="00F866EA"/>
    <w:rsid w:val="00F8674E"/>
    <w:rsid w:val="00F87029"/>
    <w:rsid w:val="00F875D6"/>
    <w:rsid w:val="00F90C01"/>
    <w:rsid w:val="00F9163D"/>
    <w:rsid w:val="00F95734"/>
    <w:rsid w:val="00F964E9"/>
    <w:rsid w:val="00F96AFE"/>
    <w:rsid w:val="00FA09FE"/>
    <w:rsid w:val="00FA3A0C"/>
    <w:rsid w:val="00FA51A0"/>
    <w:rsid w:val="00FA5636"/>
    <w:rsid w:val="00FB13A7"/>
    <w:rsid w:val="00FB5845"/>
    <w:rsid w:val="00FC08AC"/>
    <w:rsid w:val="00FC0DD3"/>
    <w:rsid w:val="00FC2472"/>
    <w:rsid w:val="00FC4ED1"/>
    <w:rsid w:val="00FD20E3"/>
    <w:rsid w:val="00FD26D4"/>
    <w:rsid w:val="00FD2B7F"/>
    <w:rsid w:val="00FD2F11"/>
    <w:rsid w:val="00FD6457"/>
    <w:rsid w:val="00FD7BFA"/>
    <w:rsid w:val="00FE18FB"/>
    <w:rsid w:val="00FE1DD9"/>
    <w:rsid w:val="00FE1E4F"/>
    <w:rsid w:val="00FE3BDF"/>
    <w:rsid w:val="00FE4564"/>
    <w:rsid w:val="00FE71D4"/>
    <w:rsid w:val="00FE7A46"/>
    <w:rsid w:val="00FF07D0"/>
    <w:rsid w:val="00FF1EAF"/>
    <w:rsid w:val="00FF68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colormru v:ext="edit" colors="#06c"/>
    </o:shapedefaults>
    <o:shapelayout v:ext="edit">
      <o:idmap v:ext="edit" data="2"/>
    </o:shapelayout>
  </w:shapeDefaults>
  <w:decimalSymbol w:val="."/>
  <w:listSeparator w:val=","/>
  <w14:docId w14:val="66279215"/>
  <w15:docId w15:val="{764235A3-8C68-4D0B-BDF4-AFAFB198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uiPriority="11"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1CF"/>
    <w:rPr>
      <w:rFonts w:ascii="Calibri" w:hAnsi="Calibri"/>
      <w:spacing w:val="6"/>
      <w:sz w:val="22"/>
      <w:lang w:val="en-GB" w:eastAsia="en-US"/>
    </w:rPr>
  </w:style>
  <w:style w:type="paragraph" w:styleId="Heading1">
    <w:name w:val="heading 1"/>
    <w:basedOn w:val="Normal"/>
    <w:next w:val="Normal"/>
    <w:link w:val="Heading1Char"/>
    <w:autoRedefine/>
    <w:qFormat/>
    <w:rsid w:val="00C31719"/>
    <w:pPr>
      <w:keepNext/>
      <w:numPr>
        <w:numId w:val="14"/>
      </w:numPr>
      <w:spacing w:before="120" w:after="120"/>
      <w:outlineLvl w:val="0"/>
    </w:pPr>
    <w:rPr>
      <w:b/>
      <w:kern w:val="28"/>
      <w:sz w:val="28"/>
    </w:rPr>
  </w:style>
  <w:style w:type="paragraph" w:styleId="Heading2">
    <w:name w:val="heading 2"/>
    <w:basedOn w:val="Normal"/>
    <w:next w:val="Normal"/>
    <w:link w:val="Heading2Char"/>
    <w:autoRedefine/>
    <w:qFormat/>
    <w:rsid w:val="0002327D"/>
    <w:pPr>
      <w:keepNext/>
      <w:numPr>
        <w:ilvl w:val="1"/>
        <w:numId w:val="14"/>
      </w:numPr>
      <w:tabs>
        <w:tab w:val="clear" w:pos="851"/>
      </w:tabs>
      <w:spacing w:before="120" w:after="120"/>
      <w:outlineLvl w:val="1"/>
    </w:pPr>
    <w:rPr>
      <w:b/>
    </w:rPr>
  </w:style>
  <w:style w:type="paragraph" w:styleId="Heading3">
    <w:name w:val="heading 3"/>
    <w:basedOn w:val="Normal"/>
    <w:next w:val="Normal"/>
    <w:link w:val="Heading3Char"/>
    <w:qFormat/>
    <w:rsid w:val="006B6949"/>
    <w:pPr>
      <w:keepNext/>
      <w:numPr>
        <w:ilvl w:val="2"/>
        <w:numId w:val="14"/>
      </w:numPr>
      <w:spacing w:before="120" w:after="120"/>
      <w:ind w:left="0" w:firstLine="0"/>
      <w:outlineLvl w:val="2"/>
    </w:pPr>
    <w:rPr>
      <w:b/>
    </w:rPr>
  </w:style>
  <w:style w:type="paragraph" w:styleId="Heading4">
    <w:name w:val="heading 4"/>
    <w:basedOn w:val="Normal"/>
    <w:next w:val="Normal"/>
    <w:qFormat/>
    <w:pPr>
      <w:keepNext/>
      <w:numPr>
        <w:ilvl w:val="3"/>
        <w:numId w:val="14"/>
      </w:numPr>
      <w:jc w:val="center"/>
      <w:outlineLvl w:val="3"/>
    </w:pPr>
    <w:rPr>
      <w:b/>
      <w:spacing w:val="0"/>
      <w:sz w:val="24"/>
    </w:rPr>
  </w:style>
  <w:style w:type="paragraph" w:styleId="Heading5">
    <w:name w:val="heading 5"/>
    <w:basedOn w:val="Normal"/>
    <w:next w:val="Normal"/>
    <w:qFormat/>
    <w:pPr>
      <w:keepNext/>
      <w:widowControl w:val="0"/>
      <w:numPr>
        <w:ilvl w:val="4"/>
        <w:numId w:val="14"/>
      </w:numPr>
      <w:tabs>
        <w:tab w:val="right" w:pos="8228"/>
      </w:tabs>
      <w:jc w:val="right"/>
      <w:outlineLvl w:val="4"/>
    </w:pPr>
    <w:rPr>
      <w:sz w:val="32"/>
    </w:rPr>
  </w:style>
  <w:style w:type="paragraph" w:styleId="Heading6">
    <w:name w:val="heading 6"/>
    <w:basedOn w:val="Normal"/>
    <w:next w:val="Normal"/>
    <w:qFormat/>
    <w:pPr>
      <w:keepNext/>
      <w:numPr>
        <w:ilvl w:val="5"/>
        <w:numId w:val="14"/>
      </w:numPr>
      <w:jc w:val="both"/>
      <w:outlineLvl w:val="5"/>
    </w:pPr>
    <w:rPr>
      <w:b/>
      <w:bCs/>
      <w:spacing w:val="0"/>
      <w:sz w:val="24"/>
    </w:rPr>
  </w:style>
  <w:style w:type="paragraph" w:styleId="Heading7">
    <w:name w:val="heading 7"/>
    <w:basedOn w:val="Normal"/>
    <w:next w:val="Normal"/>
    <w:qFormat/>
    <w:pPr>
      <w:keepNext/>
      <w:numPr>
        <w:ilvl w:val="6"/>
        <w:numId w:val="14"/>
      </w:numPr>
      <w:jc w:val="both"/>
      <w:outlineLvl w:val="6"/>
    </w:pPr>
    <w:rPr>
      <w:i/>
      <w:iCs/>
      <w:spacing w:val="0"/>
      <w:sz w:val="24"/>
    </w:rPr>
  </w:style>
  <w:style w:type="paragraph" w:styleId="Heading8">
    <w:name w:val="heading 8"/>
    <w:basedOn w:val="Normal"/>
    <w:next w:val="Normal"/>
    <w:qFormat/>
    <w:pPr>
      <w:keepNext/>
      <w:numPr>
        <w:ilvl w:val="7"/>
        <w:numId w:val="14"/>
      </w:numPr>
      <w:outlineLvl w:val="7"/>
    </w:pPr>
    <w:rPr>
      <w:rFonts w:cs="Arial"/>
      <w:b/>
      <w:bCs/>
    </w:rPr>
  </w:style>
  <w:style w:type="paragraph" w:styleId="Heading9">
    <w:name w:val="heading 9"/>
    <w:basedOn w:val="Normal"/>
    <w:next w:val="Normal"/>
    <w:qFormat/>
    <w:pPr>
      <w:keepNext/>
      <w:numPr>
        <w:ilvl w:val="8"/>
        <w:numId w:val="14"/>
      </w:numPr>
      <w:jc w:val="both"/>
      <w:outlineLvl w:val="8"/>
    </w:pPr>
    <w:rPr>
      <w:i/>
      <w:iCs/>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41235"/>
    <w:pPr>
      <w:tabs>
        <w:tab w:val="left" w:pos="567"/>
        <w:tab w:val="right" w:leader="dot" w:pos="9019"/>
      </w:tabs>
      <w:spacing w:before="120" w:after="120"/>
    </w:pPr>
    <w:rPr>
      <w:rFonts w:cs="Calibri"/>
      <w:b/>
      <w:bCs/>
      <w:iCs/>
      <w:szCs w:val="24"/>
    </w:rPr>
  </w:style>
  <w:style w:type="paragraph" w:styleId="ListBullet">
    <w:name w:val="List Bullet"/>
    <w:aliases w:val="1"/>
    <w:basedOn w:val="Normal"/>
    <w:autoRedefine/>
    <w:rsid w:val="000E147B"/>
    <w:pPr>
      <w:jc w:val="both"/>
    </w:pPr>
    <w:rPr>
      <w:rFonts w:ascii="Corbel" w:eastAsia="Arial Unicode MS" w:hAnsi="Corbel"/>
      <w:bCs/>
      <w:sz w:val="24"/>
      <w:szCs w:val="24"/>
    </w:rPr>
  </w:style>
  <w:style w:type="paragraph" w:styleId="ListNumber">
    <w:name w:val="List Number"/>
    <w:basedOn w:val="Normal"/>
    <w:pPr>
      <w:numPr>
        <w:numId w:val="1"/>
      </w:numPr>
    </w:pPr>
  </w:style>
  <w:style w:type="paragraph" w:styleId="TOC2">
    <w:name w:val="toc 2"/>
    <w:basedOn w:val="Normal"/>
    <w:next w:val="Normal"/>
    <w:autoRedefine/>
    <w:uiPriority w:val="39"/>
    <w:qFormat/>
    <w:rsid w:val="00641235"/>
    <w:pPr>
      <w:tabs>
        <w:tab w:val="left" w:pos="1134"/>
        <w:tab w:val="right" w:leader="dot" w:pos="9019"/>
      </w:tabs>
      <w:spacing w:before="120"/>
      <w:ind w:left="567"/>
    </w:pPr>
    <w:rPr>
      <w:rFonts w:cs="Calibri"/>
      <w:bCs/>
      <w:noProof/>
      <w:szCs w:val="22"/>
    </w:rPr>
  </w:style>
  <w:style w:type="paragraph" w:styleId="TOC3">
    <w:name w:val="toc 3"/>
    <w:basedOn w:val="Normal"/>
    <w:next w:val="Normal"/>
    <w:autoRedefine/>
    <w:uiPriority w:val="39"/>
    <w:qFormat/>
    <w:pPr>
      <w:ind w:left="480"/>
    </w:pPr>
    <w:rPr>
      <w:rFonts w:cs="Calibri"/>
      <w:sz w:val="20"/>
    </w:rPr>
  </w:style>
  <w:style w:type="paragraph" w:customStyle="1" w:styleId="Body">
    <w:name w:val="Body"/>
    <w:basedOn w:val="Normal"/>
    <w:pPr>
      <w:jc w:val="both"/>
    </w:pPr>
    <w:rPr>
      <w:spacing w:val="0"/>
      <w:sz w:val="24"/>
    </w:rPr>
  </w:style>
  <w:style w:type="paragraph" w:customStyle="1" w:styleId="Legal1">
    <w:name w:val="Legal 1"/>
    <w:basedOn w:val="Normal"/>
    <w:pPr>
      <w:keepLines/>
      <w:widowControl w:val="0"/>
      <w:numPr>
        <w:numId w:val="2"/>
      </w:numPr>
      <w:overflowPunct w:val="0"/>
      <w:autoSpaceDE w:val="0"/>
      <w:autoSpaceDN w:val="0"/>
      <w:adjustRightInd w:val="0"/>
      <w:spacing w:after="240"/>
      <w:textAlignment w:val="baseline"/>
    </w:pPr>
    <w:rPr>
      <w:b/>
      <w:caps/>
      <w:spacing w:val="0"/>
      <w:sz w:val="24"/>
    </w:rPr>
  </w:style>
  <w:style w:type="paragraph" w:customStyle="1" w:styleId="Legal3">
    <w:name w:val="Legal 3"/>
    <w:basedOn w:val="Normal"/>
    <w:pPr>
      <w:numPr>
        <w:ilvl w:val="2"/>
        <w:numId w:val="2"/>
      </w:numPr>
      <w:spacing w:after="240"/>
      <w:jc w:val="both"/>
      <w:outlineLvl w:val="2"/>
    </w:pPr>
    <w:rPr>
      <w:bCs/>
      <w:spacing w:val="0"/>
      <w:sz w:val="24"/>
    </w:rPr>
  </w:style>
  <w:style w:type="paragraph" w:styleId="Title">
    <w:name w:val="Title"/>
    <w:basedOn w:val="Normal"/>
    <w:qFormat/>
    <w:pPr>
      <w:jc w:val="center"/>
    </w:pPr>
    <w:rPr>
      <w:b/>
      <w:spacing w:val="0"/>
      <w:sz w:val="24"/>
    </w:rPr>
  </w:style>
  <w:style w:type="paragraph" w:styleId="BodyText">
    <w:name w:val="Body Text"/>
    <w:basedOn w:val="Normal"/>
    <w:pPr>
      <w:jc w:val="both"/>
    </w:pPr>
    <w:rPr>
      <w:color w:val="FF0000"/>
      <w:spacing w:val="0"/>
      <w:sz w:val="24"/>
    </w:rPr>
  </w:style>
  <w:style w:type="paragraph" w:customStyle="1" w:styleId="TableContents">
    <w:name w:val="Table Contents"/>
    <w:rsid w:val="002B6435"/>
    <w:pPr>
      <w:spacing w:before="60" w:after="60"/>
    </w:pPr>
    <w:rPr>
      <w:rFonts w:ascii="Calibri" w:eastAsia="Times" w:hAnsi="Calibri"/>
      <w:sz w:val="22"/>
      <w:lang w:val="en-GB" w:eastAsia="en-US"/>
    </w:rPr>
  </w:style>
  <w:style w:type="paragraph" w:customStyle="1" w:styleId="ColorfulGrid-Accent11">
    <w:name w:val="Colorful Grid - Accent 11"/>
    <w:basedOn w:val="BodyText"/>
    <w:next w:val="BodyText"/>
    <w:qFormat/>
    <w:pPr>
      <w:spacing w:after="120"/>
      <w:ind w:left="720" w:hanging="144"/>
      <w:jc w:val="left"/>
    </w:pPr>
    <w:rPr>
      <w:rFonts w:eastAsia="Times"/>
      <w:color w:val="auto"/>
      <w:sz w:val="22"/>
    </w:rPr>
  </w:style>
  <w:style w:type="paragraph" w:styleId="BodyText2">
    <w:name w:val="Body Text 2"/>
    <w:basedOn w:val="Normal"/>
    <w:pPr>
      <w:jc w:val="both"/>
    </w:pPr>
    <w:rPr>
      <w:i/>
      <w:iCs/>
      <w:color w:val="FF0000"/>
      <w:spacing w:val="0"/>
      <w:sz w:val="24"/>
    </w:rPr>
  </w:style>
  <w:style w:type="paragraph" w:customStyle="1" w:styleId="Legal2">
    <w:name w:val="Legal 2"/>
    <w:basedOn w:val="Normal"/>
    <w:pPr>
      <w:numPr>
        <w:ilvl w:val="1"/>
        <w:numId w:val="3"/>
      </w:numPr>
      <w:spacing w:after="240"/>
      <w:jc w:val="both"/>
      <w:outlineLvl w:val="1"/>
    </w:pPr>
    <w:rPr>
      <w:b/>
      <w:bCs/>
      <w:spacing w:val="0"/>
    </w:rPr>
  </w:style>
  <w:style w:type="paragraph" w:styleId="TOC4">
    <w:name w:val="toc 4"/>
    <w:basedOn w:val="Normal"/>
    <w:next w:val="Normal"/>
    <w:autoRedefine/>
    <w:uiPriority w:val="39"/>
    <w:pPr>
      <w:ind w:left="720"/>
    </w:pPr>
    <w:rPr>
      <w:rFonts w:cs="Calibri"/>
      <w:sz w:val="20"/>
    </w:rPr>
  </w:style>
  <w:style w:type="paragraph" w:styleId="FootnoteText">
    <w:name w:val="footnote text"/>
    <w:basedOn w:val="Normal"/>
    <w:semiHidden/>
    <w:pPr>
      <w:overflowPunct w:val="0"/>
      <w:autoSpaceDE w:val="0"/>
      <w:autoSpaceDN w:val="0"/>
      <w:adjustRightInd w:val="0"/>
      <w:textAlignment w:val="baseline"/>
    </w:pPr>
    <w:rPr>
      <w:spacing w:val="0"/>
      <w:sz w:val="20"/>
    </w:rPr>
  </w:style>
  <w:style w:type="paragraph" w:customStyle="1" w:styleId="TableTitle">
    <w:name w:val="Table Title"/>
    <w:basedOn w:val="BodyText"/>
    <w:pPr>
      <w:spacing w:after="120"/>
      <w:ind w:left="720"/>
      <w:jc w:val="center"/>
    </w:pPr>
    <w:rPr>
      <w:rFonts w:eastAsia="Times"/>
      <w:b/>
      <w:color w:val="auto"/>
      <w:sz w:val="22"/>
    </w:rPr>
  </w:style>
  <w:style w:type="paragraph" w:styleId="Footer">
    <w:name w:val="footer"/>
    <w:basedOn w:val="Normal"/>
    <w:link w:val="FooterChar"/>
    <w:uiPriority w:val="99"/>
    <w:pPr>
      <w:tabs>
        <w:tab w:val="center" w:pos="4153"/>
        <w:tab w:val="right" w:pos="8306"/>
      </w:tabs>
      <w:ind w:left="720"/>
      <w:jc w:val="both"/>
    </w:pPr>
    <w:rPr>
      <w:rFonts w:ascii="Arial" w:hAnsi="Arial"/>
      <w:spacing w:val="0"/>
      <w:sz w:val="24"/>
    </w:rPr>
  </w:style>
  <w:style w:type="paragraph" w:styleId="BodyTextIndent">
    <w:name w:val="Body Text Indent"/>
    <w:basedOn w:val="Normal"/>
    <w:pPr>
      <w:ind w:left="720"/>
      <w:jc w:val="both"/>
    </w:pPr>
    <w:rPr>
      <w:spacing w:val="0"/>
      <w:sz w:val="24"/>
    </w:rPr>
  </w:style>
  <w:style w:type="paragraph" w:styleId="BodyTextIndent2">
    <w:name w:val="Body Text Indent 2"/>
    <w:basedOn w:val="Normal"/>
    <w:pPr>
      <w:ind w:left="720"/>
    </w:pPr>
    <w:rPr>
      <w:spacing w:val="0"/>
      <w:sz w:val="24"/>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textAlignment w:val="baseline"/>
    </w:pPr>
    <w:rPr>
      <w:spacing w:val="0"/>
      <w:lang w:val="en-US"/>
    </w:rPr>
  </w:style>
  <w:style w:type="paragraph" w:customStyle="1" w:styleId="AppendixTitle">
    <w:name w:val="Appendix Title"/>
    <w:basedOn w:val="BodyText"/>
    <w:next w:val="Heading1"/>
    <w:pPr>
      <w:spacing w:after="120"/>
      <w:jc w:val="right"/>
    </w:pPr>
    <w:rPr>
      <w:rFonts w:eastAsia="Times"/>
      <w:b/>
      <w:color w:val="auto"/>
      <w:sz w:val="22"/>
    </w:rPr>
  </w:style>
  <w:style w:type="character" w:styleId="PageNumber">
    <w:name w:val="page number"/>
    <w:rPr>
      <w:sz w:val="20"/>
    </w:rPr>
  </w:style>
  <w:style w:type="paragraph" w:styleId="Header">
    <w:name w:val="header"/>
    <w:basedOn w:val="Normal"/>
    <w:link w:val="HeaderChar"/>
    <w:uiPriority w:val="99"/>
    <w:pPr>
      <w:tabs>
        <w:tab w:val="center" w:pos="4153"/>
        <w:tab w:val="right" w:pos="8306"/>
      </w:tabs>
      <w:ind w:left="720"/>
      <w:jc w:val="both"/>
    </w:pPr>
    <w:rPr>
      <w:spacing w:val="0"/>
      <w:sz w:val="24"/>
    </w:rPr>
  </w:style>
  <w:style w:type="paragraph" w:styleId="BodyText3">
    <w:name w:val="Body Text 3"/>
    <w:basedOn w:val="Normal"/>
    <w:rPr>
      <w:b/>
      <w:bCs/>
    </w:rPr>
  </w:style>
  <w:style w:type="paragraph" w:styleId="BodyTextIndent3">
    <w:name w:val="Body Text Indent 3"/>
    <w:basedOn w:val="Normal"/>
    <w:pPr>
      <w:ind w:left="720"/>
      <w:jc w:val="both"/>
    </w:pPr>
    <w:rPr>
      <w:rFonts w:cs="Arial"/>
      <w:b/>
      <w:bCs/>
      <w:color w:val="FF0000"/>
      <w:sz w:val="20"/>
    </w:rPr>
  </w:style>
  <w:style w:type="paragraph" w:customStyle="1" w:styleId="Strapline">
    <w:name w:val="Strapline"/>
    <w:next w:val="Heading1"/>
    <w:pPr>
      <w:spacing w:before="120" w:after="240"/>
      <w:jc w:val="center"/>
    </w:pPr>
    <w:rPr>
      <w:rFonts w:ascii="New Century Schlbk" w:hAnsi="New Century Schlbk"/>
      <w:sz w:val="24"/>
      <w:u w:val="single"/>
      <w:lang w:val="en-GB" w:eastAsia="en-US"/>
    </w:rPr>
  </w:style>
  <w:style w:type="character" w:styleId="FootnoteReference">
    <w:name w:val="footnote reference"/>
    <w:semiHidden/>
    <w:rPr>
      <w:vertAlign w:val="superscript"/>
    </w:rPr>
  </w:style>
  <w:style w:type="paragraph" w:styleId="NormalWeb">
    <w:name w:val="Normal (Web)"/>
    <w:basedOn w:val="Normal"/>
    <w:link w:val="NormalWebChar"/>
    <w:pPr>
      <w:spacing w:before="100" w:beforeAutospacing="1" w:after="100" w:afterAutospacing="1"/>
    </w:pPr>
    <w:rPr>
      <w:rFonts w:ascii="Arial Unicode MS" w:eastAsia="Arial Unicode MS" w:hAnsi="Arial Unicode MS"/>
      <w:spacing w:val="0"/>
      <w:sz w:val="24"/>
      <w:szCs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pacing w:val="0"/>
      <w:sz w:val="24"/>
      <w:szCs w:val="24"/>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pacing w:val="0"/>
      <w:sz w:val="24"/>
      <w:szCs w:val="24"/>
    </w:rPr>
  </w:style>
  <w:style w:type="paragraph" w:customStyle="1" w:styleId="xl25">
    <w:name w:val="xl25"/>
    <w:basedOn w:val="Normal"/>
    <w:pPr>
      <w:spacing w:before="100" w:beforeAutospacing="1" w:after="100" w:afterAutospacing="1"/>
      <w:jc w:val="center"/>
    </w:pPr>
    <w:rPr>
      <w:rFonts w:eastAsia="Arial Unicode MS" w:cs="Arial"/>
      <w:b/>
      <w:bCs/>
      <w:spacing w:val="0"/>
      <w:sz w:val="24"/>
      <w:szCs w:val="24"/>
    </w:rPr>
  </w:style>
  <w:style w:type="paragraph" w:customStyle="1" w:styleId="xl26">
    <w:name w:val="xl26"/>
    <w:basedOn w:val="Normal"/>
    <w:pP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pacing w:val="0"/>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pacing w:val="0"/>
      <w:sz w:val="24"/>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pacing w:val="0"/>
      <w:sz w:val="24"/>
      <w:szCs w:val="24"/>
    </w:rPr>
  </w:style>
  <w:style w:type="paragraph" w:customStyle="1" w:styleId="xl33">
    <w:name w:val="xl33"/>
    <w:basedOn w:val="Normal"/>
    <w:pPr>
      <w:pBdr>
        <w:top w:val="single" w:sz="4" w:space="0" w:color="auto"/>
        <w:lef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4">
    <w:name w:val="xl34"/>
    <w:basedOn w:val="Normal"/>
    <w:pPr>
      <w:pBdr>
        <w:top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5">
    <w:name w:val="xl3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6">
    <w:name w:val="xl36"/>
    <w:basedOn w:val="Normal"/>
    <w:pPr>
      <w:pBdr>
        <w:left w:val="single" w:sz="4" w:space="0" w:color="auto"/>
        <w:bottom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7">
    <w:name w:val="xl37"/>
    <w:basedOn w:val="Normal"/>
    <w:pPr>
      <w:pBdr>
        <w:bottom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styleId="Caption">
    <w:name w:val="caption"/>
    <w:basedOn w:val="Normal"/>
    <w:next w:val="Normal"/>
    <w:qFormat/>
    <w:rPr>
      <w:rFonts w:cs="Arial"/>
      <w:spacing w:val="0"/>
      <w:sz w:val="24"/>
      <w:szCs w:val="22"/>
      <w:u w:val="single"/>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NoSpacing">
    <w:name w:val="No Spacing"/>
    <w:link w:val="NoSpacingChar"/>
    <w:uiPriority w:val="1"/>
    <w:qFormat/>
    <w:rsid w:val="00EB2CB0"/>
    <w:rPr>
      <w:rFonts w:ascii="Calibri" w:hAnsi="Calibri"/>
      <w:sz w:val="22"/>
      <w:szCs w:val="22"/>
      <w:lang w:val="en-US" w:eastAsia="en-US"/>
    </w:rPr>
  </w:style>
  <w:style w:type="character" w:customStyle="1" w:styleId="NoSpacingChar">
    <w:name w:val="No Spacing Char"/>
    <w:link w:val="NoSpacing"/>
    <w:uiPriority w:val="1"/>
    <w:rsid w:val="00EB2CB0"/>
    <w:rPr>
      <w:rFonts w:ascii="Calibri" w:hAnsi="Calibri"/>
      <w:sz w:val="22"/>
      <w:szCs w:val="22"/>
      <w:lang w:val="en-US" w:eastAsia="en-US" w:bidi="ar-SA"/>
    </w:rPr>
  </w:style>
  <w:style w:type="table" w:styleId="TableGrid">
    <w:name w:val="Table Grid"/>
    <w:basedOn w:val="TableNormal"/>
    <w:rsid w:val="00DB76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FC08AC"/>
    <w:pPr>
      <w:numPr>
        <w:numId w:val="4"/>
      </w:numPr>
    </w:pPr>
  </w:style>
  <w:style w:type="numbering" w:customStyle="1" w:styleId="Style2">
    <w:name w:val="Style2"/>
    <w:rsid w:val="00E1465C"/>
    <w:pPr>
      <w:numPr>
        <w:numId w:val="5"/>
      </w:numPr>
    </w:pPr>
  </w:style>
  <w:style w:type="numbering" w:customStyle="1" w:styleId="Style3">
    <w:name w:val="Style3"/>
    <w:rsid w:val="00941229"/>
    <w:pPr>
      <w:numPr>
        <w:numId w:val="6"/>
      </w:numPr>
    </w:pPr>
  </w:style>
  <w:style w:type="numbering" w:customStyle="1" w:styleId="Style4">
    <w:name w:val="Style4"/>
    <w:rsid w:val="00941229"/>
    <w:pPr>
      <w:numPr>
        <w:numId w:val="7"/>
      </w:numPr>
    </w:pPr>
  </w:style>
  <w:style w:type="numbering" w:customStyle="1" w:styleId="Style5">
    <w:name w:val="Style5"/>
    <w:rsid w:val="00941229"/>
    <w:pPr>
      <w:numPr>
        <w:numId w:val="8"/>
      </w:numPr>
    </w:pPr>
  </w:style>
  <w:style w:type="numbering" w:customStyle="1" w:styleId="Style6">
    <w:name w:val="Style6"/>
    <w:rsid w:val="004B0EC4"/>
    <w:pPr>
      <w:numPr>
        <w:numId w:val="9"/>
      </w:numPr>
    </w:pPr>
  </w:style>
  <w:style w:type="numbering" w:customStyle="1" w:styleId="Style7">
    <w:name w:val="Style7"/>
    <w:rsid w:val="005F42FA"/>
    <w:pPr>
      <w:numPr>
        <w:numId w:val="10"/>
      </w:numPr>
    </w:pPr>
  </w:style>
  <w:style w:type="paragraph" w:customStyle="1" w:styleId="Body-1">
    <w:name w:val="Body-1"/>
    <w:basedOn w:val="Normal"/>
    <w:uiPriority w:val="99"/>
    <w:rsid w:val="00D241B9"/>
    <w:pPr>
      <w:spacing w:before="120" w:after="60"/>
      <w:ind w:left="425"/>
    </w:pPr>
    <w:rPr>
      <w:rFonts w:ascii="ITCCentury BookCond" w:hAnsi="ITCCentury BookCond"/>
      <w:spacing w:val="0"/>
      <w:lang w:val="en-AU"/>
    </w:rPr>
  </w:style>
  <w:style w:type="numbering" w:customStyle="1" w:styleId="Style8">
    <w:name w:val="Style8"/>
    <w:rsid w:val="00211D49"/>
    <w:pPr>
      <w:numPr>
        <w:numId w:val="11"/>
      </w:numPr>
    </w:pPr>
  </w:style>
  <w:style w:type="numbering" w:customStyle="1" w:styleId="Style9">
    <w:name w:val="Style9"/>
    <w:rsid w:val="00211D49"/>
    <w:pPr>
      <w:numPr>
        <w:numId w:val="12"/>
      </w:numPr>
    </w:pPr>
  </w:style>
  <w:style w:type="character" w:styleId="CommentReference">
    <w:name w:val="annotation reference"/>
    <w:rsid w:val="006A184D"/>
    <w:rPr>
      <w:sz w:val="16"/>
      <w:szCs w:val="16"/>
    </w:rPr>
  </w:style>
  <w:style w:type="paragraph" w:styleId="CommentText">
    <w:name w:val="annotation text"/>
    <w:basedOn w:val="Normal"/>
    <w:link w:val="CommentTextChar"/>
    <w:rsid w:val="006A184D"/>
    <w:rPr>
      <w:rFonts w:ascii="Arial" w:hAnsi="Arial"/>
      <w:sz w:val="20"/>
      <w:lang w:eastAsia="x-none"/>
    </w:rPr>
  </w:style>
  <w:style w:type="character" w:customStyle="1" w:styleId="CommentTextChar">
    <w:name w:val="Comment Text Char"/>
    <w:link w:val="CommentText"/>
    <w:rsid w:val="006A184D"/>
    <w:rPr>
      <w:rFonts w:ascii="Arial" w:hAnsi="Arial"/>
      <w:spacing w:val="6"/>
      <w:lang w:val="en-GB"/>
    </w:rPr>
  </w:style>
  <w:style w:type="paragraph" w:styleId="CommentSubject">
    <w:name w:val="annotation subject"/>
    <w:basedOn w:val="CommentText"/>
    <w:next w:val="CommentText"/>
    <w:link w:val="CommentSubjectChar"/>
    <w:rsid w:val="006A184D"/>
    <w:rPr>
      <w:b/>
      <w:bCs/>
    </w:rPr>
  </w:style>
  <w:style w:type="character" w:customStyle="1" w:styleId="CommentSubjectChar">
    <w:name w:val="Comment Subject Char"/>
    <w:link w:val="CommentSubject"/>
    <w:rsid w:val="006A184D"/>
    <w:rPr>
      <w:rFonts w:ascii="Arial" w:hAnsi="Arial"/>
      <w:b/>
      <w:bCs/>
      <w:spacing w:val="6"/>
      <w:lang w:val="en-GB"/>
    </w:rPr>
  </w:style>
  <w:style w:type="paragraph" w:customStyle="1" w:styleId="LLbodytext">
    <w:name w:val="LL body text"/>
    <w:rsid w:val="00213622"/>
    <w:pPr>
      <w:spacing w:before="120" w:line="260" w:lineRule="exact"/>
    </w:pPr>
    <w:rPr>
      <w:rFonts w:ascii="Arial Narrow" w:hAnsi="Arial Narrow"/>
      <w:sz w:val="22"/>
      <w:szCs w:val="24"/>
      <w:lang w:eastAsia="en-US"/>
    </w:rPr>
  </w:style>
  <w:style w:type="numbering" w:customStyle="1" w:styleId="Style10">
    <w:name w:val="Style10"/>
    <w:rsid w:val="004218BF"/>
    <w:pPr>
      <w:numPr>
        <w:numId w:val="13"/>
      </w:numPr>
    </w:pPr>
  </w:style>
  <w:style w:type="paragraph" w:styleId="TOC5">
    <w:name w:val="toc 5"/>
    <w:basedOn w:val="Normal"/>
    <w:next w:val="Normal"/>
    <w:autoRedefine/>
    <w:uiPriority w:val="39"/>
    <w:unhideWhenUsed/>
    <w:rsid w:val="004218BF"/>
    <w:pPr>
      <w:ind w:left="960"/>
    </w:pPr>
    <w:rPr>
      <w:rFonts w:cs="Calibri"/>
      <w:sz w:val="20"/>
    </w:rPr>
  </w:style>
  <w:style w:type="paragraph" w:styleId="TOC6">
    <w:name w:val="toc 6"/>
    <w:basedOn w:val="Normal"/>
    <w:next w:val="Normal"/>
    <w:autoRedefine/>
    <w:uiPriority w:val="39"/>
    <w:unhideWhenUsed/>
    <w:rsid w:val="004218BF"/>
    <w:pPr>
      <w:ind w:left="1200"/>
    </w:pPr>
    <w:rPr>
      <w:rFonts w:cs="Calibri"/>
      <w:sz w:val="20"/>
    </w:rPr>
  </w:style>
  <w:style w:type="paragraph" w:styleId="TOC7">
    <w:name w:val="toc 7"/>
    <w:basedOn w:val="Normal"/>
    <w:next w:val="Normal"/>
    <w:autoRedefine/>
    <w:uiPriority w:val="39"/>
    <w:unhideWhenUsed/>
    <w:rsid w:val="004218BF"/>
    <w:pPr>
      <w:ind w:left="1440"/>
    </w:pPr>
    <w:rPr>
      <w:rFonts w:cs="Calibri"/>
      <w:sz w:val="20"/>
    </w:rPr>
  </w:style>
  <w:style w:type="paragraph" w:styleId="TOC8">
    <w:name w:val="toc 8"/>
    <w:basedOn w:val="Normal"/>
    <w:next w:val="Normal"/>
    <w:autoRedefine/>
    <w:uiPriority w:val="39"/>
    <w:unhideWhenUsed/>
    <w:rsid w:val="004218BF"/>
    <w:pPr>
      <w:ind w:left="1680"/>
    </w:pPr>
    <w:rPr>
      <w:rFonts w:cs="Calibri"/>
      <w:sz w:val="20"/>
    </w:rPr>
  </w:style>
  <w:style w:type="paragraph" w:styleId="TOC9">
    <w:name w:val="toc 9"/>
    <w:basedOn w:val="Normal"/>
    <w:next w:val="Normal"/>
    <w:autoRedefine/>
    <w:uiPriority w:val="39"/>
    <w:unhideWhenUsed/>
    <w:rsid w:val="004218BF"/>
    <w:pPr>
      <w:ind w:left="1920"/>
    </w:pPr>
    <w:rPr>
      <w:rFonts w:cs="Calibri"/>
      <w:sz w:val="20"/>
    </w:rPr>
  </w:style>
  <w:style w:type="character" w:styleId="Hyperlink">
    <w:name w:val="Hyperlink"/>
    <w:uiPriority w:val="99"/>
    <w:unhideWhenUsed/>
    <w:rsid w:val="004218BF"/>
    <w:rPr>
      <w:color w:val="0000FF"/>
      <w:u w:val="single"/>
    </w:rPr>
  </w:style>
  <w:style w:type="paragraph" w:styleId="DocumentMap">
    <w:name w:val="Document Map"/>
    <w:basedOn w:val="Normal"/>
    <w:semiHidden/>
    <w:rsid w:val="003F288E"/>
    <w:pPr>
      <w:shd w:val="clear" w:color="auto" w:fill="000080"/>
    </w:pPr>
    <w:rPr>
      <w:rFonts w:ascii="Tahoma" w:hAnsi="Tahoma" w:cs="Tahoma"/>
      <w:sz w:val="20"/>
    </w:rPr>
  </w:style>
  <w:style w:type="character" w:styleId="FollowedHyperlink">
    <w:name w:val="FollowedHyperlink"/>
    <w:rsid w:val="007C4ACE"/>
    <w:rPr>
      <w:color w:val="800080"/>
      <w:u w:val="single"/>
    </w:rPr>
  </w:style>
  <w:style w:type="paragraph" w:customStyle="1" w:styleId="Style11">
    <w:name w:val="Style11"/>
    <w:basedOn w:val="Normal"/>
    <w:next w:val="Normal"/>
    <w:link w:val="Style11Char"/>
    <w:rsid w:val="00045C7B"/>
    <w:rPr>
      <w:rFonts w:ascii="Corbel" w:hAnsi="Corbel"/>
      <w:sz w:val="24"/>
    </w:rPr>
  </w:style>
  <w:style w:type="paragraph" w:customStyle="1" w:styleId="Style12">
    <w:name w:val="Style12"/>
    <w:basedOn w:val="TableContents"/>
    <w:rsid w:val="00A71F8E"/>
    <w:pPr>
      <w:jc w:val="both"/>
    </w:pPr>
    <w:rPr>
      <w:rFonts w:ascii="Corbel" w:hAnsi="Corbel" w:cs="Arial"/>
    </w:rPr>
  </w:style>
  <w:style w:type="paragraph" w:customStyle="1" w:styleId="Style13">
    <w:name w:val="Style13"/>
    <w:basedOn w:val="Heading1"/>
    <w:next w:val="Style12"/>
    <w:rsid w:val="00A71F8E"/>
    <w:pPr>
      <w:jc w:val="both"/>
    </w:pPr>
    <w:rPr>
      <w:rFonts w:ascii="Corbel" w:eastAsia="Arial Unicode MS" w:hAnsi="Corbel"/>
      <w:bCs/>
    </w:rPr>
  </w:style>
  <w:style w:type="character" w:customStyle="1" w:styleId="Style11Char">
    <w:name w:val="Style11 Char"/>
    <w:link w:val="Style11"/>
    <w:rsid w:val="00AC4A97"/>
    <w:rPr>
      <w:rFonts w:ascii="Corbel" w:hAnsi="Corbel"/>
      <w:spacing w:val="6"/>
      <w:sz w:val="24"/>
      <w:lang w:val="en-GB" w:eastAsia="en-US" w:bidi="ar-SA"/>
    </w:rPr>
  </w:style>
  <w:style w:type="paragraph" w:customStyle="1" w:styleId="Style14">
    <w:name w:val="Style14"/>
    <w:basedOn w:val="TOC1"/>
    <w:next w:val="Style11"/>
    <w:rsid w:val="006A774B"/>
    <w:pPr>
      <w:tabs>
        <w:tab w:val="left" w:pos="660"/>
        <w:tab w:val="right" w:pos="9380"/>
      </w:tabs>
    </w:pPr>
    <w:rPr>
      <w:rFonts w:ascii="Corbel" w:hAnsi="Corbel"/>
      <w:noProof/>
    </w:rPr>
  </w:style>
  <w:style w:type="paragraph" w:customStyle="1" w:styleId="TOC99">
    <w:name w:val="TOC 99"/>
    <w:basedOn w:val="TOC1"/>
    <w:rsid w:val="006A774B"/>
    <w:pPr>
      <w:tabs>
        <w:tab w:val="left" w:pos="660"/>
        <w:tab w:val="right" w:pos="9380"/>
      </w:tabs>
    </w:pPr>
    <w:rPr>
      <w:rFonts w:ascii="Corbel" w:hAnsi="Corbel"/>
      <w:noProof/>
    </w:rPr>
  </w:style>
  <w:style w:type="character" w:customStyle="1" w:styleId="Heading1Char">
    <w:name w:val="Heading 1 Char"/>
    <w:link w:val="Heading1"/>
    <w:rsid w:val="00C31719"/>
    <w:rPr>
      <w:rFonts w:ascii="Calibri" w:hAnsi="Calibri"/>
      <w:b/>
      <w:spacing w:val="6"/>
      <w:kern w:val="28"/>
      <w:sz w:val="28"/>
      <w:lang w:val="en-GB" w:eastAsia="en-US"/>
    </w:rPr>
  </w:style>
  <w:style w:type="paragraph" w:styleId="Subtitle">
    <w:name w:val="Subtitle"/>
    <w:basedOn w:val="Normal"/>
    <w:next w:val="Normal"/>
    <w:link w:val="SubtitleChar"/>
    <w:uiPriority w:val="11"/>
    <w:qFormat/>
    <w:rsid w:val="00B00740"/>
    <w:pPr>
      <w:numPr>
        <w:ilvl w:val="1"/>
      </w:numPr>
      <w:spacing w:after="200" w:line="276" w:lineRule="auto"/>
    </w:pPr>
    <w:rPr>
      <w:rFonts w:ascii="Cambria" w:hAnsi="Cambria"/>
      <w:i/>
      <w:iCs/>
      <w:color w:val="4F81BD"/>
      <w:spacing w:val="15"/>
      <w:sz w:val="24"/>
      <w:szCs w:val="24"/>
      <w:lang w:val="en-US" w:bidi="en-US"/>
    </w:rPr>
  </w:style>
  <w:style w:type="character" w:customStyle="1" w:styleId="SubtitleChar">
    <w:name w:val="Subtitle Char"/>
    <w:link w:val="Subtitle"/>
    <w:uiPriority w:val="11"/>
    <w:rsid w:val="00B00740"/>
    <w:rPr>
      <w:rFonts w:ascii="Cambria" w:eastAsia="Times New Roman" w:hAnsi="Cambria" w:cs="Times New Roman"/>
      <w:i/>
      <w:iCs/>
      <w:color w:val="4F81BD"/>
      <w:spacing w:val="15"/>
      <w:sz w:val="24"/>
      <w:szCs w:val="24"/>
      <w:lang w:val="en-US" w:eastAsia="en-US" w:bidi="en-US"/>
    </w:rPr>
  </w:style>
  <w:style w:type="character" w:customStyle="1" w:styleId="FooterChar">
    <w:name w:val="Footer Char"/>
    <w:link w:val="Footer"/>
    <w:uiPriority w:val="99"/>
    <w:rsid w:val="00C36A71"/>
    <w:rPr>
      <w:rFonts w:ascii="Arial" w:hAnsi="Arial"/>
      <w:sz w:val="24"/>
      <w:lang w:val="en-GB" w:eastAsia="en-US"/>
    </w:rPr>
  </w:style>
  <w:style w:type="paragraph" w:customStyle="1" w:styleId="Normal2">
    <w:name w:val="Normal 2"/>
    <w:basedOn w:val="Normal"/>
    <w:qFormat/>
    <w:rsid w:val="00520464"/>
    <w:pPr>
      <w:spacing w:before="120" w:after="120"/>
    </w:pPr>
    <w:rPr>
      <w:rFonts w:cs="Calibri"/>
      <w:spacing w:val="0"/>
    </w:rPr>
  </w:style>
  <w:style w:type="paragraph" w:customStyle="1" w:styleId="Bulleted">
    <w:name w:val="Bulleted"/>
    <w:basedOn w:val="Normal2"/>
    <w:qFormat/>
    <w:rsid w:val="00421990"/>
    <w:pPr>
      <w:numPr>
        <w:numId w:val="15"/>
      </w:numPr>
      <w:ind w:left="1418" w:hanging="720"/>
      <w:contextualSpacing/>
    </w:pPr>
  </w:style>
  <w:style w:type="paragraph" w:styleId="TOCHeading">
    <w:name w:val="TOC Heading"/>
    <w:basedOn w:val="Heading1"/>
    <w:next w:val="Normal"/>
    <w:uiPriority w:val="39"/>
    <w:qFormat/>
    <w:rsid w:val="002B6435"/>
    <w:pPr>
      <w:keepLines/>
      <w:numPr>
        <w:numId w:val="0"/>
      </w:numPr>
      <w:spacing w:before="480" w:after="0" w:line="276" w:lineRule="auto"/>
      <w:outlineLvl w:val="9"/>
    </w:pPr>
    <w:rPr>
      <w:rFonts w:ascii="Cambria" w:hAnsi="Cambria"/>
      <w:bCs/>
      <w:caps/>
      <w:color w:val="365F91"/>
      <w:spacing w:val="0"/>
      <w:kern w:val="0"/>
      <w:szCs w:val="28"/>
      <w:lang w:val="en-US"/>
    </w:rPr>
  </w:style>
  <w:style w:type="character" w:customStyle="1" w:styleId="HeaderChar">
    <w:name w:val="Header Char"/>
    <w:link w:val="Header"/>
    <w:uiPriority w:val="99"/>
    <w:rsid w:val="002D0BE4"/>
    <w:rPr>
      <w:rFonts w:ascii="Calibri" w:hAnsi="Calibri"/>
      <w:sz w:val="24"/>
      <w:lang w:val="en-GB" w:eastAsia="en-US"/>
    </w:rPr>
  </w:style>
  <w:style w:type="paragraph" w:customStyle="1" w:styleId="BulletedIndent">
    <w:name w:val="Bulleted Indent"/>
    <w:basedOn w:val="Bulleted"/>
    <w:qFormat/>
    <w:rsid w:val="00520464"/>
    <w:pPr>
      <w:ind w:left="1560" w:hanging="851"/>
    </w:pPr>
  </w:style>
  <w:style w:type="paragraph" w:customStyle="1" w:styleId="ColorfulList-Accent11">
    <w:name w:val="Colorful List - Accent 11"/>
    <w:basedOn w:val="Normal"/>
    <w:qFormat/>
    <w:rsid w:val="00E87262"/>
    <w:pPr>
      <w:spacing w:after="200" w:line="276" w:lineRule="auto"/>
      <w:ind w:left="720"/>
      <w:contextualSpacing/>
    </w:pPr>
    <w:rPr>
      <w:spacing w:val="0"/>
      <w:szCs w:val="22"/>
      <w:lang w:val="en-AU" w:eastAsia="en-AU"/>
    </w:rPr>
  </w:style>
  <w:style w:type="paragraph" w:customStyle="1" w:styleId="Default">
    <w:name w:val="Default"/>
    <w:rsid w:val="00174556"/>
    <w:pPr>
      <w:autoSpaceDE w:val="0"/>
      <w:autoSpaceDN w:val="0"/>
      <w:adjustRightInd w:val="0"/>
    </w:pPr>
    <w:rPr>
      <w:rFonts w:ascii="Zwo Regular LF" w:hAnsi="Zwo Regular LF" w:cs="Zwo Regular LF"/>
      <w:color w:val="000000"/>
      <w:sz w:val="24"/>
      <w:szCs w:val="24"/>
    </w:rPr>
  </w:style>
  <w:style w:type="paragraph" w:customStyle="1" w:styleId="Pa9">
    <w:name w:val="Pa9"/>
    <w:basedOn w:val="Default"/>
    <w:next w:val="Default"/>
    <w:rsid w:val="00174556"/>
    <w:pPr>
      <w:spacing w:line="181" w:lineRule="atLeast"/>
    </w:pPr>
    <w:rPr>
      <w:rFonts w:cs="Times New Roman"/>
      <w:color w:val="auto"/>
    </w:rPr>
  </w:style>
  <w:style w:type="paragraph" w:customStyle="1" w:styleId="Pa16">
    <w:name w:val="Pa16"/>
    <w:basedOn w:val="Default"/>
    <w:next w:val="Default"/>
    <w:rsid w:val="00174556"/>
    <w:pPr>
      <w:spacing w:line="181" w:lineRule="atLeast"/>
    </w:pPr>
    <w:rPr>
      <w:rFonts w:cs="Times New Roman"/>
      <w:color w:val="auto"/>
    </w:rPr>
  </w:style>
  <w:style w:type="paragraph" w:customStyle="1" w:styleId="Pa12">
    <w:name w:val="Pa12"/>
    <w:basedOn w:val="Default"/>
    <w:next w:val="Default"/>
    <w:rsid w:val="00174556"/>
    <w:pPr>
      <w:spacing w:line="181" w:lineRule="atLeast"/>
    </w:pPr>
    <w:rPr>
      <w:rFonts w:cs="Times New Roman"/>
      <w:color w:val="auto"/>
    </w:rPr>
  </w:style>
  <w:style w:type="paragraph" w:customStyle="1" w:styleId="Pa15">
    <w:name w:val="Pa15"/>
    <w:basedOn w:val="Default"/>
    <w:next w:val="Default"/>
    <w:rsid w:val="00174556"/>
    <w:pPr>
      <w:spacing w:line="181" w:lineRule="atLeast"/>
    </w:pPr>
    <w:rPr>
      <w:rFonts w:cs="Times New Roman"/>
      <w:color w:val="auto"/>
    </w:rPr>
  </w:style>
  <w:style w:type="character" w:customStyle="1" w:styleId="Heading3Char">
    <w:name w:val="Heading 3 Char"/>
    <w:link w:val="Heading3"/>
    <w:rsid w:val="006B6949"/>
    <w:rPr>
      <w:rFonts w:ascii="Calibri" w:hAnsi="Calibri"/>
      <w:b/>
      <w:spacing w:val="6"/>
      <w:sz w:val="22"/>
      <w:lang w:val="en-GB" w:eastAsia="en-US"/>
    </w:rPr>
  </w:style>
  <w:style w:type="character" w:customStyle="1" w:styleId="OFPCBody">
    <w:name w:val="OFPC Body"/>
    <w:rsid w:val="003439B2"/>
    <w:rPr>
      <w:rFonts w:ascii="Arial Narrow" w:hAnsi="Arial Narrow"/>
      <w:sz w:val="22"/>
    </w:rPr>
  </w:style>
  <w:style w:type="character" w:customStyle="1" w:styleId="NormalWebChar">
    <w:name w:val="Normal (Web) Char"/>
    <w:link w:val="NormalWeb"/>
    <w:rsid w:val="00CA20A8"/>
    <w:rPr>
      <w:rFonts w:ascii="Arial Unicode MS" w:eastAsia="Arial Unicode MS" w:hAnsi="Arial Unicode MS" w:cs="Arial Unicode MS"/>
      <w:sz w:val="24"/>
      <w:szCs w:val="24"/>
      <w:lang w:val="en-GB" w:eastAsia="en-US"/>
    </w:rPr>
  </w:style>
  <w:style w:type="paragraph" w:styleId="BlockText">
    <w:name w:val="Block Text"/>
    <w:basedOn w:val="Normal"/>
    <w:rsid w:val="00CA20A8"/>
    <w:pPr>
      <w:overflowPunct w:val="0"/>
      <w:autoSpaceDE w:val="0"/>
      <w:autoSpaceDN w:val="0"/>
      <w:adjustRightInd w:val="0"/>
      <w:spacing w:before="180" w:after="60"/>
      <w:ind w:left="2268" w:right="284" w:hanging="2268"/>
      <w:jc w:val="both"/>
      <w:textAlignment w:val="baseline"/>
    </w:pPr>
    <w:rPr>
      <w:rFonts w:ascii="Helvetica" w:hAnsi="Helvetica"/>
      <w:spacing w:val="0"/>
      <w:sz w:val="20"/>
      <w:lang w:val="en-AU"/>
    </w:rPr>
  </w:style>
  <w:style w:type="character" w:customStyle="1" w:styleId="body11">
    <w:name w:val="body11"/>
    <w:rsid w:val="00CA20A8"/>
    <w:rPr>
      <w:b w:val="0"/>
      <w:bCs w:val="0"/>
      <w:i w:val="0"/>
      <w:iCs w:val="0"/>
      <w:color w:val="000000"/>
      <w:sz w:val="24"/>
      <w:szCs w:val="24"/>
    </w:rPr>
  </w:style>
  <w:style w:type="paragraph" w:customStyle="1" w:styleId="introparagraph2">
    <w:name w:val="introparagraph2"/>
    <w:basedOn w:val="Normal"/>
    <w:rsid w:val="00CA20A8"/>
    <w:pPr>
      <w:spacing w:before="100" w:beforeAutospacing="1" w:after="100" w:afterAutospacing="1"/>
    </w:pPr>
    <w:rPr>
      <w:rFonts w:ascii="Times New Roman" w:hAnsi="Times New Roman"/>
      <w:b/>
      <w:bCs/>
      <w:color w:val="C30045"/>
      <w:spacing w:val="0"/>
      <w:sz w:val="20"/>
      <w:lang w:val="en-AU" w:eastAsia="en-AU"/>
    </w:rPr>
  </w:style>
  <w:style w:type="character" w:customStyle="1" w:styleId="Heading2Char">
    <w:name w:val="Heading 2 Char"/>
    <w:link w:val="Heading2"/>
    <w:rsid w:val="0002327D"/>
    <w:rPr>
      <w:rFonts w:ascii="Calibri" w:hAnsi="Calibri"/>
      <w:b/>
      <w:spacing w:val="6"/>
      <w:sz w:val="22"/>
      <w:lang w:val="en-GB" w:eastAsia="en-US"/>
    </w:rPr>
  </w:style>
  <w:style w:type="character" w:customStyle="1" w:styleId="CharChar24">
    <w:name w:val="Char Char24"/>
    <w:rsid w:val="00707B2F"/>
    <w:rPr>
      <w:rFonts w:ascii="Calibri" w:hAnsi="Calibri"/>
      <w:b/>
      <w:spacing w:val="6"/>
      <w:sz w:val="22"/>
      <w:lang w:val="en-GB" w:eastAsia="en-US"/>
    </w:rPr>
  </w:style>
  <w:style w:type="character" w:customStyle="1" w:styleId="CharChar23">
    <w:name w:val="Char Char23"/>
    <w:rsid w:val="004B7E12"/>
    <w:rPr>
      <w:rFonts w:ascii="Calibri" w:hAnsi="Calibri"/>
      <w:b/>
      <w:spacing w:val="6"/>
      <w:sz w:val="22"/>
      <w:lang w:val="en-GB" w:eastAsia="en-US"/>
    </w:rPr>
  </w:style>
  <w:style w:type="paragraph" w:styleId="ListParagraph">
    <w:name w:val="List Paragraph"/>
    <w:basedOn w:val="Normal"/>
    <w:uiPriority w:val="34"/>
    <w:qFormat/>
    <w:rsid w:val="00E85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1353">
      <w:bodyDiv w:val="1"/>
      <w:marLeft w:val="0"/>
      <w:marRight w:val="0"/>
      <w:marTop w:val="0"/>
      <w:marBottom w:val="0"/>
      <w:divBdr>
        <w:top w:val="none" w:sz="0" w:space="0" w:color="auto"/>
        <w:left w:val="none" w:sz="0" w:space="0" w:color="auto"/>
        <w:bottom w:val="none" w:sz="0" w:space="0" w:color="auto"/>
        <w:right w:val="none" w:sz="0" w:space="0" w:color="auto"/>
      </w:divBdr>
      <w:divsChild>
        <w:div w:id="230390219">
          <w:marLeft w:val="0"/>
          <w:marRight w:val="0"/>
          <w:marTop w:val="300"/>
          <w:marBottom w:val="0"/>
          <w:divBdr>
            <w:top w:val="none" w:sz="0" w:space="0" w:color="auto"/>
            <w:left w:val="none" w:sz="0" w:space="0" w:color="auto"/>
            <w:bottom w:val="none" w:sz="0" w:space="0" w:color="auto"/>
            <w:right w:val="none" w:sz="0" w:space="0" w:color="auto"/>
          </w:divBdr>
          <w:divsChild>
            <w:div w:id="291525668">
              <w:marLeft w:val="0"/>
              <w:marRight w:val="0"/>
              <w:marTop w:val="0"/>
              <w:marBottom w:val="0"/>
              <w:divBdr>
                <w:top w:val="none" w:sz="0" w:space="0" w:color="auto"/>
                <w:left w:val="none" w:sz="0" w:space="0" w:color="auto"/>
                <w:bottom w:val="none" w:sz="0" w:space="0" w:color="auto"/>
                <w:right w:val="none" w:sz="0" w:space="0" w:color="auto"/>
              </w:divBdr>
              <w:divsChild>
                <w:div w:id="1102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263841">
      <w:bodyDiv w:val="1"/>
      <w:marLeft w:val="0"/>
      <w:marRight w:val="0"/>
      <w:marTop w:val="0"/>
      <w:marBottom w:val="0"/>
      <w:divBdr>
        <w:top w:val="none" w:sz="0" w:space="0" w:color="auto"/>
        <w:left w:val="none" w:sz="0" w:space="0" w:color="auto"/>
        <w:bottom w:val="none" w:sz="0" w:space="0" w:color="auto"/>
        <w:right w:val="none" w:sz="0" w:space="0" w:color="auto"/>
      </w:divBdr>
      <w:divsChild>
        <w:div w:id="1867061357">
          <w:marLeft w:val="0"/>
          <w:marRight w:val="0"/>
          <w:marTop w:val="400"/>
          <w:marBottom w:val="0"/>
          <w:divBdr>
            <w:top w:val="none" w:sz="0" w:space="0" w:color="auto"/>
            <w:left w:val="none" w:sz="0" w:space="0" w:color="auto"/>
            <w:bottom w:val="none" w:sz="0" w:space="0" w:color="auto"/>
            <w:right w:val="none" w:sz="0" w:space="0" w:color="auto"/>
          </w:divBdr>
          <w:divsChild>
            <w:div w:id="1122923988">
              <w:marLeft w:val="0"/>
              <w:marRight w:val="0"/>
              <w:marTop w:val="0"/>
              <w:marBottom w:val="0"/>
              <w:divBdr>
                <w:top w:val="none" w:sz="0" w:space="0" w:color="auto"/>
                <w:left w:val="none" w:sz="0" w:space="0" w:color="auto"/>
                <w:bottom w:val="none" w:sz="0" w:space="0" w:color="auto"/>
                <w:right w:val="none" w:sz="0" w:space="0" w:color="auto"/>
              </w:divBdr>
              <w:divsChild>
                <w:div w:id="12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29866">
      <w:bodyDiv w:val="1"/>
      <w:marLeft w:val="0"/>
      <w:marRight w:val="0"/>
      <w:marTop w:val="0"/>
      <w:marBottom w:val="0"/>
      <w:divBdr>
        <w:top w:val="none" w:sz="0" w:space="0" w:color="auto"/>
        <w:left w:val="none" w:sz="0" w:space="0" w:color="auto"/>
        <w:bottom w:val="none" w:sz="0" w:space="0" w:color="auto"/>
        <w:right w:val="none" w:sz="0" w:space="0" w:color="auto"/>
      </w:divBdr>
      <w:divsChild>
        <w:div w:id="609314354">
          <w:marLeft w:val="0"/>
          <w:marRight w:val="0"/>
          <w:marTop w:val="0"/>
          <w:marBottom w:val="0"/>
          <w:divBdr>
            <w:top w:val="none" w:sz="0" w:space="0" w:color="auto"/>
            <w:left w:val="none" w:sz="0" w:space="0" w:color="auto"/>
            <w:bottom w:val="none" w:sz="0" w:space="0" w:color="auto"/>
            <w:right w:val="none" w:sz="0" w:space="0" w:color="auto"/>
          </w:divBdr>
          <w:divsChild>
            <w:div w:id="1009914168">
              <w:marLeft w:val="0"/>
              <w:marRight w:val="0"/>
              <w:marTop w:val="0"/>
              <w:marBottom w:val="0"/>
              <w:divBdr>
                <w:top w:val="none" w:sz="0" w:space="0" w:color="auto"/>
                <w:left w:val="none" w:sz="0" w:space="0" w:color="auto"/>
                <w:bottom w:val="none" w:sz="0" w:space="0" w:color="auto"/>
                <w:right w:val="none" w:sz="0" w:space="0" w:color="auto"/>
              </w:divBdr>
              <w:divsChild>
                <w:div w:id="1783963321">
                  <w:marLeft w:val="0"/>
                  <w:marRight w:val="0"/>
                  <w:marTop w:val="0"/>
                  <w:marBottom w:val="0"/>
                  <w:divBdr>
                    <w:top w:val="none" w:sz="0" w:space="0" w:color="auto"/>
                    <w:left w:val="none" w:sz="0" w:space="0" w:color="auto"/>
                    <w:bottom w:val="none" w:sz="0" w:space="0" w:color="auto"/>
                    <w:right w:val="none" w:sz="0" w:space="0" w:color="auto"/>
                  </w:divBdr>
                  <w:divsChild>
                    <w:div w:id="1515219521">
                      <w:marLeft w:val="0"/>
                      <w:marRight w:val="0"/>
                      <w:marTop w:val="0"/>
                      <w:marBottom w:val="0"/>
                      <w:divBdr>
                        <w:top w:val="none" w:sz="0" w:space="0" w:color="auto"/>
                        <w:left w:val="none" w:sz="0" w:space="0" w:color="auto"/>
                        <w:bottom w:val="none" w:sz="0" w:space="0" w:color="auto"/>
                        <w:right w:val="none" w:sz="0" w:space="0" w:color="auto"/>
                      </w:divBdr>
                      <w:divsChild>
                        <w:div w:id="581450655">
                          <w:marLeft w:val="0"/>
                          <w:marRight w:val="0"/>
                          <w:marTop w:val="0"/>
                          <w:marBottom w:val="0"/>
                          <w:divBdr>
                            <w:top w:val="none" w:sz="0" w:space="0" w:color="auto"/>
                            <w:left w:val="none" w:sz="0" w:space="0" w:color="auto"/>
                            <w:bottom w:val="none" w:sz="0" w:space="0" w:color="auto"/>
                            <w:right w:val="none" w:sz="0" w:space="0" w:color="auto"/>
                          </w:divBdr>
                          <w:divsChild>
                            <w:div w:id="416636652">
                              <w:marLeft w:val="-390"/>
                              <w:marRight w:val="-390"/>
                              <w:marTop w:val="0"/>
                              <w:marBottom w:val="360"/>
                              <w:divBdr>
                                <w:top w:val="none" w:sz="0" w:space="0" w:color="auto"/>
                                <w:left w:val="none" w:sz="0" w:space="0" w:color="auto"/>
                                <w:bottom w:val="single" w:sz="2" w:space="18" w:color="E9EFF3"/>
                                <w:right w:val="none" w:sz="0" w:space="0" w:color="auto"/>
                              </w:divBdr>
                              <w:divsChild>
                                <w:div w:id="141328390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028938">
      <w:bodyDiv w:val="1"/>
      <w:marLeft w:val="0"/>
      <w:marRight w:val="0"/>
      <w:marTop w:val="0"/>
      <w:marBottom w:val="0"/>
      <w:divBdr>
        <w:top w:val="none" w:sz="0" w:space="0" w:color="auto"/>
        <w:left w:val="none" w:sz="0" w:space="0" w:color="auto"/>
        <w:bottom w:val="none" w:sz="0" w:space="0" w:color="auto"/>
        <w:right w:val="none" w:sz="0" w:space="0" w:color="auto"/>
      </w:divBdr>
      <w:divsChild>
        <w:div w:id="258805066">
          <w:marLeft w:val="0"/>
          <w:marRight w:val="0"/>
          <w:marTop w:val="0"/>
          <w:marBottom w:val="0"/>
          <w:divBdr>
            <w:top w:val="none" w:sz="0" w:space="0" w:color="auto"/>
            <w:left w:val="none" w:sz="0" w:space="0" w:color="auto"/>
            <w:bottom w:val="none" w:sz="0" w:space="0" w:color="auto"/>
            <w:right w:val="none" w:sz="0" w:space="0" w:color="auto"/>
          </w:divBdr>
          <w:divsChild>
            <w:div w:id="1072510383">
              <w:marLeft w:val="0"/>
              <w:marRight w:val="0"/>
              <w:marTop w:val="0"/>
              <w:marBottom w:val="0"/>
              <w:divBdr>
                <w:top w:val="none" w:sz="0" w:space="0" w:color="auto"/>
                <w:left w:val="none" w:sz="0" w:space="0" w:color="auto"/>
                <w:bottom w:val="none" w:sz="0" w:space="0" w:color="auto"/>
                <w:right w:val="none" w:sz="0" w:space="0" w:color="auto"/>
              </w:divBdr>
            </w:div>
            <w:div w:id="1500922152">
              <w:marLeft w:val="0"/>
              <w:marRight w:val="0"/>
              <w:marTop w:val="0"/>
              <w:marBottom w:val="0"/>
              <w:divBdr>
                <w:top w:val="none" w:sz="0" w:space="0" w:color="auto"/>
                <w:left w:val="none" w:sz="0" w:space="0" w:color="auto"/>
                <w:bottom w:val="none" w:sz="0" w:space="0" w:color="auto"/>
                <w:right w:val="none" w:sz="0" w:space="0" w:color="auto"/>
              </w:divBdr>
            </w:div>
          </w:divsChild>
        </w:div>
        <w:div w:id="335157604">
          <w:marLeft w:val="0"/>
          <w:marRight w:val="0"/>
          <w:marTop w:val="0"/>
          <w:marBottom w:val="0"/>
          <w:divBdr>
            <w:top w:val="none" w:sz="0" w:space="0" w:color="auto"/>
            <w:left w:val="none" w:sz="0" w:space="0" w:color="auto"/>
            <w:bottom w:val="none" w:sz="0" w:space="0" w:color="auto"/>
            <w:right w:val="none" w:sz="0" w:space="0" w:color="auto"/>
          </w:divBdr>
          <w:divsChild>
            <w:div w:id="1404332273">
              <w:marLeft w:val="0"/>
              <w:marRight w:val="0"/>
              <w:marTop w:val="0"/>
              <w:marBottom w:val="0"/>
              <w:divBdr>
                <w:top w:val="none" w:sz="0" w:space="0" w:color="auto"/>
                <w:left w:val="none" w:sz="0" w:space="0" w:color="auto"/>
                <w:bottom w:val="none" w:sz="0" w:space="0" w:color="auto"/>
                <w:right w:val="none" w:sz="0" w:space="0" w:color="auto"/>
              </w:divBdr>
            </w:div>
            <w:div w:id="1645349420">
              <w:marLeft w:val="0"/>
              <w:marRight w:val="0"/>
              <w:marTop w:val="0"/>
              <w:marBottom w:val="0"/>
              <w:divBdr>
                <w:top w:val="none" w:sz="0" w:space="0" w:color="auto"/>
                <w:left w:val="none" w:sz="0" w:space="0" w:color="auto"/>
                <w:bottom w:val="none" w:sz="0" w:space="0" w:color="auto"/>
                <w:right w:val="none" w:sz="0" w:space="0" w:color="auto"/>
              </w:divBdr>
            </w:div>
          </w:divsChild>
        </w:div>
        <w:div w:id="365450791">
          <w:marLeft w:val="0"/>
          <w:marRight w:val="0"/>
          <w:marTop w:val="0"/>
          <w:marBottom w:val="0"/>
          <w:divBdr>
            <w:top w:val="none" w:sz="0" w:space="0" w:color="auto"/>
            <w:left w:val="none" w:sz="0" w:space="0" w:color="auto"/>
            <w:bottom w:val="none" w:sz="0" w:space="0" w:color="auto"/>
            <w:right w:val="none" w:sz="0" w:space="0" w:color="auto"/>
          </w:divBdr>
          <w:divsChild>
            <w:div w:id="390079107">
              <w:marLeft w:val="0"/>
              <w:marRight w:val="0"/>
              <w:marTop w:val="0"/>
              <w:marBottom w:val="0"/>
              <w:divBdr>
                <w:top w:val="none" w:sz="0" w:space="0" w:color="auto"/>
                <w:left w:val="none" w:sz="0" w:space="0" w:color="auto"/>
                <w:bottom w:val="none" w:sz="0" w:space="0" w:color="auto"/>
                <w:right w:val="none" w:sz="0" w:space="0" w:color="auto"/>
              </w:divBdr>
            </w:div>
            <w:div w:id="1504708129">
              <w:marLeft w:val="0"/>
              <w:marRight w:val="0"/>
              <w:marTop w:val="0"/>
              <w:marBottom w:val="0"/>
              <w:divBdr>
                <w:top w:val="none" w:sz="0" w:space="0" w:color="auto"/>
                <w:left w:val="none" w:sz="0" w:space="0" w:color="auto"/>
                <w:bottom w:val="none" w:sz="0" w:space="0" w:color="auto"/>
                <w:right w:val="none" w:sz="0" w:space="0" w:color="auto"/>
              </w:divBdr>
            </w:div>
          </w:divsChild>
        </w:div>
        <w:div w:id="390618041">
          <w:marLeft w:val="0"/>
          <w:marRight w:val="0"/>
          <w:marTop w:val="0"/>
          <w:marBottom w:val="0"/>
          <w:divBdr>
            <w:top w:val="none" w:sz="0" w:space="0" w:color="auto"/>
            <w:left w:val="none" w:sz="0" w:space="0" w:color="auto"/>
            <w:bottom w:val="none" w:sz="0" w:space="0" w:color="auto"/>
            <w:right w:val="none" w:sz="0" w:space="0" w:color="auto"/>
          </w:divBdr>
          <w:divsChild>
            <w:div w:id="1540317393">
              <w:marLeft w:val="0"/>
              <w:marRight w:val="0"/>
              <w:marTop w:val="0"/>
              <w:marBottom w:val="0"/>
              <w:divBdr>
                <w:top w:val="none" w:sz="0" w:space="0" w:color="auto"/>
                <w:left w:val="none" w:sz="0" w:space="0" w:color="auto"/>
                <w:bottom w:val="none" w:sz="0" w:space="0" w:color="auto"/>
                <w:right w:val="none" w:sz="0" w:space="0" w:color="auto"/>
              </w:divBdr>
            </w:div>
            <w:div w:id="1713117116">
              <w:marLeft w:val="0"/>
              <w:marRight w:val="0"/>
              <w:marTop w:val="0"/>
              <w:marBottom w:val="0"/>
              <w:divBdr>
                <w:top w:val="none" w:sz="0" w:space="0" w:color="auto"/>
                <w:left w:val="none" w:sz="0" w:space="0" w:color="auto"/>
                <w:bottom w:val="none" w:sz="0" w:space="0" w:color="auto"/>
                <w:right w:val="none" w:sz="0" w:space="0" w:color="auto"/>
              </w:divBdr>
            </w:div>
          </w:divsChild>
        </w:div>
        <w:div w:id="449395038">
          <w:marLeft w:val="0"/>
          <w:marRight w:val="0"/>
          <w:marTop w:val="0"/>
          <w:marBottom w:val="0"/>
          <w:divBdr>
            <w:top w:val="none" w:sz="0" w:space="0" w:color="auto"/>
            <w:left w:val="none" w:sz="0" w:space="0" w:color="auto"/>
            <w:bottom w:val="none" w:sz="0" w:space="0" w:color="auto"/>
            <w:right w:val="none" w:sz="0" w:space="0" w:color="auto"/>
          </w:divBdr>
          <w:divsChild>
            <w:div w:id="1221482682">
              <w:marLeft w:val="0"/>
              <w:marRight w:val="0"/>
              <w:marTop w:val="0"/>
              <w:marBottom w:val="0"/>
              <w:divBdr>
                <w:top w:val="none" w:sz="0" w:space="0" w:color="auto"/>
                <w:left w:val="none" w:sz="0" w:space="0" w:color="auto"/>
                <w:bottom w:val="none" w:sz="0" w:space="0" w:color="auto"/>
                <w:right w:val="none" w:sz="0" w:space="0" w:color="auto"/>
              </w:divBdr>
            </w:div>
            <w:div w:id="1776317812">
              <w:marLeft w:val="0"/>
              <w:marRight w:val="0"/>
              <w:marTop w:val="0"/>
              <w:marBottom w:val="0"/>
              <w:divBdr>
                <w:top w:val="none" w:sz="0" w:space="0" w:color="auto"/>
                <w:left w:val="none" w:sz="0" w:space="0" w:color="auto"/>
                <w:bottom w:val="none" w:sz="0" w:space="0" w:color="auto"/>
                <w:right w:val="none" w:sz="0" w:space="0" w:color="auto"/>
              </w:divBdr>
            </w:div>
          </w:divsChild>
        </w:div>
        <w:div w:id="509026225">
          <w:marLeft w:val="0"/>
          <w:marRight w:val="0"/>
          <w:marTop w:val="0"/>
          <w:marBottom w:val="0"/>
          <w:divBdr>
            <w:top w:val="none" w:sz="0" w:space="0" w:color="auto"/>
            <w:left w:val="none" w:sz="0" w:space="0" w:color="auto"/>
            <w:bottom w:val="none" w:sz="0" w:space="0" w:color="auto"/>
            <w:right w:val="none" w:sz="0" w:space="0" w:color="auto"/>
          </w:divBdr>
          <w:divsChild>
            <w:div w:id="1944918075">
              <w:marLeft w:val="0"/>
              <w:marRight w:val="0"/>
              <w:marTop w:val="0"/>
              <w:marBottom w:val="0"/>
              <w:divBdr>
                <w:top w:val="none" w:sz="0" w:space="0" w:color="auto"/>
                <w:left w:val="none" w:sz="0" w:space="0" w:color="auto"/>
                <w:bottom w:val="none" w:sz="0" w:space="0" w:color="auto"/>
                <w:right w:val="none" w:sz="0" w:space="0" w:color="auto"/>
              </w:divBdr>
            </w:div>
          </w:divsChild>
        </w:div>
        <w:div w:id="850414629">
          <w:marLeft w:val="0"/>
          <w:marRight w:val="0"/>
          <w:marTop w:val="0"/>
          <w:marBottom w:val="0"/>
          <w:divBdr>
            <w:top w:val="none" w:sz="0" w:space="0" w:color="auto"/>
            <w:left w:val="none" w:sz="0" w:space="0" w:color="auto"/>
            <w:bottom w:val="none" w:sz="0" w:space="0" w:color="auto"/>
            <w:right w:val="none" w:sz="0" w:space="0" w:color="auto"/>
          </w:divBdr>
          <w:divsChild>
            <w:div w:id="827087704">
              <w:marLeft w:val="0"/>
              <w:marRight w:val="0"/>
              <w:marTop w:val="0"/>
              <w:marBottom w:val="0"/>
              <w:divBdr>
                <w:top w:val="none" w:sz="0" w:space="0" w:color="auto"/>
                <w:left w:val="none" w:sz="0" w:space="0" w:color="auto"/>
                <w:bottom w:val="none" w:sz="0" w:space="0" w:color="auto"/>
                <w:right w:val="none" w:sz="0" w:space="0" w:color="auto"/>
              </w:divBdr>
            </w:div>
            <w:div w:id="1438133753">
              <w:marLeft w:val="0"/>
              <w:marRight w:val="0"/>
              <w:marTop w:val="0"/>
              <w:marBottom w:val="0"/>
              <w:divBdr>
                <w:top w:val="none" w:sz="0" w:space="0" w:color="auto"/>
                <w:left w:val="none" w:sz="0" w:space="0" w:color="auto"/>
                <w:bottom w:val="none" w:sz="0" w:space="0" w:color="auto"/>
                <w:right w:val="none" w:sz="0" w:space="0" w:color="auto"/>
              </w:divBdr>
            </w:div>
          </w:divsChild>
        </w:div>
        <w:div w:id="864944196">
          <w:marLeft w:val="0"/>
          <w:marRight w:val="0"/>
          <w:marTop w:val="0"/>
          <w:marBottom w:val="0"/>
          <w:divBdr>
            <w:top w:val="none" w:sz="0" w:space="0" w:color="auto"/>
            <w:left w:val="none" w:sz="0" w:space="0" w:color="auto"/>
            <w:bottom w:val="none" w:sz="0" w:space="0" w:color="auto"/>
            <w:right w:val="none" w:sz="0" w:space="0" w:color="auto"/>
          </w:divBdr>
          <w:divsChild>
            <w:div w:id="301154753">
              <w:marLeft w:val="0"/>
              <w:marRight w:val="0"/>
              <w:marTop w:val="0"/>
              <w:marBottom w:val="0"/>
              <w:divBdr>
                <w:top w:val="none" w:sz="0" w:space="0" w:color="auto"/>
                <w:left w:val="none" w:sz="0" w:space="0" w:color="auto"/>
                <w:bottom w:val="none" w:sz="0" w:space="0" w:color="auto"/>
                <w:right w:val="none" w:sz="0" w:space="0" w:color="auto"/>
              </w:divBdr>
            </w:div>
            <w:div w:id="1036200700">
              <w:marLeft w:val="0"/>
              <w:marRight w:val="0"/>
              <w:marTop w:val="0"/>
              <w:marBottom w:val="0"/>
              <w:divBdr>
                <w:top w:val="none" w:sz="0" w:space="0" w:color="auto"/>
                <w:left w:val="none" w:sz="0" w:space="0" w:color="auto"/>
                <w:bottom w:val="none" w:sz="0" w:space="0" w:color="auto"/>
                <w:right w:val="none" w:sz="0" w:space="0" w:color="auto"/>
              </w:divBdr>
            </w:div>
          </w:divsChild>
        </w:div>
        <w:div w:id="1148664211">
          <w:marLeft w:val="0"/>
          <w:marRight w:val="0"/>
          <w:marTop w:val="0"/>
          <w:marBottom w:val="0"/>
          <w:divBdr>
            <w:top w:val="none" w:sz="0" w:space="0" w:color="auto"/>
            <w:left w:val="none" w:sz="0" w:space="0" w:color="auto"/>
            <w:bottom w:val="none" w:sz="0" w:space="0" w:color="auto"/>
            <w:right w:val="none" w:sz="0" w:space="0" w:color="auto"/>
          </w:divBdr>
          <w:divsChild>
            <w:div w:id="644822919">
              <w:marLeft w:val="0"/>
              <w:marRight w:val="0"/>
              <w:marTop w:val="0"/>
              <w:marBottom w:val="0"/>
              <w:divBdr>
                <w:top w:val="none" w:sz="0" w:space="0" w:color="auto"/>
                <w:left w:val="none" w:sz="0" w:space="0" w:color="auto"/>
                <w:bottom w:val="none" w:sz="0" w:space="0" w:color="auto"/>
                <w:right w:val="none" w:sz="0" w:space="0" w:color="auto"/>
              </w:divBdr>
            </w:div>
            <w:div w:id="1169252457">
              <w:marLeft w:val="0"/>
              <w:marRight w:val="0"/>
              <w:marTop w:val="0"/>
              <w:marBottom w:val="0"/>
              <w:divBdr>
                <w:top w:val="none" w:sz="0" w:space="0" w:color="auto"/>
                <w:left w:val="none" w:sz="0" w:space="0" w:color="auto"/>
                <w:bottom w:val="none" w:sz="0" w:space="0" w:color="auto"/>
                <w:right w:val="none" w:sz="0" w:space="0" w:color="auto"/>
              </w:divBdr>
            </w:div>
          </w:divsChild>
        </w:div>
        <w:div w:id="1190292068">
          <w:marLeft w:val="0"/>
          <w:marRight w:val="0"/>
          <w:marTop w:val="0"/>
          <w:marBottom w:val="0"/>
          <w:divBdr>
            <w:top w:val="none" w:sz="0" w:space="0" w:color="auto"/>
            <w:left w:val="none" w:sz="0" w:space="0" w:color="auto"/>
            <w:bottom w:val="none" w:sz="0" w:space="0" w:color="auto"/>
            <w:right w:val="none" w:sz="0" w:space="0" w:color="auto"/>
          </w:divBdr>
          <w:divsChild>
            <w:div w:id="1353799768">
              <w:marLeft w:val="0"/>
              <w:marRight w:val="0"/>
              <w:marTop w:val="0"/>
              <w:marBottom w:val="0"/>
              <w:divBdr>
                <w:top w:val="none" w:sz="0" w:space="0" w:color="auto"/>
                <w:left w:val="none" w:sz="0" w:space="0" w:color="auto"/>
                <w:bottom w:val="none" w:sz="0" w:space="0" w:color="auto"/>
                <w:right w:val="none" w:sz="0" w:space="0" w:color="auto"/>
              </w:divBdr>
            </w:div>
            <w:div w:id="1562902870">
              <w:marLeft w:val="0"/>
              <w:marRight w:val="0"/>
              <w:marTop w:val="0"/>
              <w:marBottom w:val="0"/>
              <w:divBdr>
                <w:top w:val="none" w:sz="0" w:space="0" w:color="auto"/>
                <w:left w:val="none" w:sz="0" w:space="0" w:color="auto"/>
                <w:bottom w:val="none" w:sz="0" w:space="0" w:color="auto"/>
                <w:right w:val="none" w:sz="0" w:space="0" w:color="auto"/>
              </w:divBdr>
            </w:div>
          </w:divsChild>
        </w:div>
        <w:div w:id="1503424724">
          <w:marLeft w:val="0"/>
          <w:marRight w:val="0"/>
          <w:marTop w:val="0"/>
          <w:marBottom w:val="0"/>
          <w:divBdr>
            <w:top w:val="none" w:sz="0" w:space="0" w:color="auto"/>
            <w:left w:val="none" w:sz="0" w:space="0" w:color="auto"/>
            <w:bottom w:val="none" w:sz="0" w:space="0" w:color="auto"/>
            <w:right w:val="none" w:sz="0" w:space="0" w:color="auto"/>
          </w:divBdr>
          <w:divsChild>
            <w:div w:id="318509716">
              <w:marLeft w:val="0"/>
              <w:marRight w:val="0"/>
              <w:marTop w:val="0"/>
              <w:marBottom w:val="0"/>
              <w:divBdr>
                <w:top w:val="none" w:sz="0" w:space="0" w:color="auto"/>
                <w:left w:val="none" w:sz="0" w:space="0" w:color="auto"/>
                <w:bottom w:val="none" w:sz="0" w:space="0" w:color="auto"/>
                <w:right w:val="none" w:sz="0" w:space="0" w:color="auto"/>
              </w:divBdr>
            </w:div>
            <w:div w:id="935552079">
              <w:marLeft w:val="0"/>
              <w:marRight w:val="0"/>
              <w:marTop w:val="0"/>
              <w:marBottom w:val="0"/>
              <w:divBdr>
                <w:top w:val="none" w:sz="0" w:space="0" w:color="auto"/>
                <w:left w:val="none" w:sz="0" w:space="0" w:color="auto"/>
                <w:bottom w:val="none" w:sz="0" w:space="0" w:color="auto"/>
                <w:right w:val="none" w:sz="0" w:space="0" w:color="auto"/>
              </w:divBdr>
            </w:div>
          </w:divsChild>
        </w:div>
        <w:div w:id="1510750255">
          <w:marLeft w:val="0"/>
          <w:marRight w:val="0"/>
          <w:marTop w:val="0"/>
          <w:marBottom w:val="0"/>
          <w:divBdr>
            <w:top w:val="none" w:sz="0" w:space="0" w:color="auto"/>
            <w:left w:val="none" w:sz="0" w:space="0" w:color="auto"/>
            <w:bottom w:val="none" w:sz="0" w:space="0" w:color="auto"/>
            <w:right w:val="none" w:sz="0" w:space="0" w:color="auto"/>
          </w:divBdr>
          <w:divsChild>
            <w:div w:id="590503528">
              <w:marLeft w:val="0"/>
              <w:marRight w:val="0"/>
              <w:marTop w:val="0"/>
              <w:marBottom w:val="0"/>
              <w:divBdr>
                <w:top w:val="none" w:sz="0" w:space="0" w:color="auto"/>
                <w:left w:val="none" w:sz="0" w:space="0" w:color="auto"/>
                <w:bottom w:val="none" w:sz="0" w:space="0" w:color="auto"/>
                <w:right w:val="none" w:sz="0" w:space="0" w:color="auto"/>
              </w:divBdr>
            </w:div>
            <w:div w:id="1496342135">
              <w:marLeft w:val="0"/>
              <w:marRight w:val="0"/>
              <w:marTop w:val="0"/>
              <w:marBottom w:val="0"/>
              <w:divBdr>
                <w:top w:val="none" w:sz="0" w:space="0" w:color="auto"/>
                <w:left w:val="none" w:sz="0" w:space="0" w:color="auto"/>
                <w:bottom w:val="none" w:sz="0" w:space="0" w:color="auto"/>
                <w:right w:val="none" w:sz="0" w:space="0" w:color="auto"/>
              </w:divBdr>
            </w:div>
          </w:divsChild>
        </w:div>
        <w:div w:id="1607344537">
          <w:marLeft w:val="0"/>
          <w:marRight w:val="0"/>
          <w:marTop w:val="0"/>
          <w:marBottom w:val="0"/>
          <w:divBdr>
            <w:top w:val="none" w:sz="0" w:space="0" w:color="auto"/>
            <w:left w:val="none" w:sz="0" w:space="0" w:color="auto"/>
            <w:bottom w:val="none" w:sz="0" w:space="0" w:color="auto"/>
            <w:right w:val="none" w:sz="0" w:space="0" w:color="auto"/>
          </w:divBdr>
          <w:divsChild>
            <w:div w:id="782114704">
              <w:marLeft w:val="0"/>
              <w:marRight w:val="0"/>
              <w:marTop w:val="0"/>
              <w:marBottom w:val="0"/>
              <w:divBdr>
                <w:top w:val="none" w:sz="0" w:space="0" w:color="auto"/>
                <w:left w:val="none" w:sz="0" w:space="0" w:color="auto"/>
                <w:bottom w:val="none" w:sz="0" w:space="0" w:color="auto"/>
                <w:right w:val="none" w:sz="0" w:space="0" w:color="auto"/>
              </w:divBdr>
            </w:div>
            <w:div w:id="1790591590">
              <w:marLeft w:val="0"/>
              <w:marRight w:val="0"/>
              <w:marTop w:val="0"/>
              <w:marBottom w:val="0"/>
              <w:divBdr>
                <w:top w:val="none" w:sz="0" w:space="0" w:color="auto"/>
                <w:left w:val="none" w:sz="0" w:space="0" w:color="auto"/>
                <w:bottom w:val="none" w:sz="0" w:space="0" w:color="auto"/>
                <w:right w:val="none" w:sz="0" w:space="0" w:color="auto"/>
              </w:divBdr>
            </w:div>
          </w:divsChild>
        </w:div>
        <w:div w:id="1696729616">
          <w:marLeft w:val="0"/>
          <w:marRight w:val="0"/>
          <w:marTop w:val="0"/>
          <w:marBottom w:val="0"/>
          <w:divBdr>
            <w:top w:val="none" w:sz="0" w:space="0" w:color="auto"/>
            <w:left w:val="none" w:sz="0" w:space="0" w:color="auto"/>
            <w:bottom w:val="none" w:sz="0" w:space="0" w:color="auto"/>
            <w:right w:val="none" w:sz="0" w:space="0" w:color="auto"/>
          </w:divBdr>
          <w:divsChild>
            <w:div w:id="193085006">
              <w:marLeft w:val="0"/>
              <w:marRight w:val="0"/>
              <w:marTop w:val="0"/>
              <w:marBottom w:val="0"/>
              <w:divBdr>
                <w:top w:val="none" w:sz="0" w:space="0" w:color="auto"/>
                <w:left w:val="none" w:sz="0" w:space="0" w:color="auto"/>
                <w:bottom w:val="none" w:sz="0" w:space="0" w:color="auto"/>
                <w:right w:val="none" w:sz="0" w:space="0" w:color="auto"/>
              </w:divBdr>
            </w:div>
            <w:div w:id="1120883804">
              <w:marLeft w:val="0"/>
              <w:marRight w:val="0"/>
              <w:marTop w:val="0"/>
              <w:marBottom w:val="0"/>
              <w:divBdr>
                <w:top w:val="none" w:sz="0" w:space="0" w:color="auto"/>
                <w:left w:val="none" w:sz="0" w:space="0" w:color="auto"/>
                <w:bottom w:val="none" w:sz="0" w:space="0" w:color="auto"/>
                <w:right w:val="none" w:sz="0" w:space="0" w:color="auto"/>
              </w:divBdr>
            </w:div>
          </w:divsChild>
        </w:div>
        <w:div w:id="1965768861">
          <w:marLeft w:val="0"/>
          <w:marRight w:val="0"/>
          <w:marTop w:val="0"/>
          <w:marBottom w:val="0"/>
          <w:divBdr>
            <w:top w:val="none" w:sz="0" w:space="0" w:color="auto"/>
            <w:left w:val="none" w:sz="0" w:space="0" w:color="auto"/>
            <w:bottom w:val="none" w:sz="0" w:space="0" w:color="auto"/>
            <w:right w:val="none" w:sz="0" w:space="0" w:color="auto"/>
          </w:divBdr>
          <w:divsChild>
            <w:div w:id="379667544">
              <w:marLeft w:val="0"/>
              <w:marRight w:val="0"/>
              <w:marTop w:val="0"/>
              <w:marBottom w:val="0"/>
              <w:divBdr>
                <w:top w:val="none" w:sz="0" w:space="0" w:color="auto"/>
                <w:left w:val="none" w:sz="0" w:space="0" w:color="auto"/>
                <w:bottom w:val="none" w:sz="0" w:space="0" w:color="auto"/>
                <w:right w:val="none" w:sz="0" w:space="0" w:color="auto"/>
              </w:divBdr>
            </w:div>
            <w:div w:id="5170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3807">
      <w:bodyDiv w:val="1"/>
      <w:marLeft w:val="0"/>
      <w:marRight w:val="0"/>
      <w:marTop w:val="0"/>
      <w:marBottom w:val="0"/>
      <w:divBdr>
        <w:top w:val="none" w:sz="0" w:space="0" w:color="auto"/>
        <w:left w:val="none" w:sz="0" w:space="0" w:color="auto"/>
        <w:bottom w:val="none" w:sz="0" w:space="0" w:color="auto"/>
        <w:right w:val="none" w:sz="0" w:space="0" w:color="auto"/>
      </w:divBdr>
      <w:divsChild>
        <w:div w:id="1451238602">
          <w:marLeft w:val="0"/>
          <w:marRight w:val="0"/>
          <w:marTop w:val="0"/>
          <w:marBottom w:val="0"/>
          <w:divBdr>
            <w:top w:val="none" w:sz="0" w:space="0" w:color="auto"/>
            <w:left w:val="none" w:sz="0" w:space="0" w:color="auto"/>
            <w:bottom w:val="none" w:sz="0" w:space="0" w:color="auto"/>
            <w:right w:val="none" w:sz="0" w:space="0" w:color="auto"/>
          </w:divBdr>
          <w:divsChild>
            <w:div w:id="299657552">
              <w:marLeft w:val="0"/>
              <w:marRight w:val="0"/>
              <w:marTop w:val="0"/>
              <w:marBottom w:val="0"/>
              <w:divBdr>
                <w:top w:val="none" w:sz="0" w:space="0" w:color="auto"/>
                <w:left w:val="none" w:sz="0" w:space="0" w:color="auto"/>
                <w:bottom w:val="none" w:sz="0" w:space="0" w:color="auto"/>
                <w:right w:val="none" w:sz="0" w:space="0" w:color="auto"/>
              </w:divBdr>
              <w:divsChild>
                <w:div w:id="1720744325">
                  <w:marLeft w:val="0"/>
                  <w:marRight w:val="0"/>
                  <w:marTop w:val="0"/>
                  <w:marBottom w:val="0"/>
                  <w:divBdr>
                    <w:top w:val="none" w:sz="0" w:space="0" w:color="auto"/>
                    <w:left w:val="none" w:sz="0" w:space="0" w:color="auto"/>
                    <w:bottom w:val="none" w:sz="0" w:space="0" w:color="auto"/>
                    <w:right w:val="none" w:sz="0" w:space="0" w:color="auto"/>
                  </w:divBdr>
                  <w:divsChild>
                    <w:div w:id="2143617390">
                      <w:marLeft w:val="0"/>
                      <w:marRight w:val="0"/>
                      <w:marTop w:val="0"/>
                      <w:marBottom w:val="0"/>
                      <w:divBdr>
                        <w:top w:val="none" w:sz="0" w:space="0" w:color="auto"/>
                        <w:left w:val="none" w:sz="0" w:space="0" w:color="auto"/>
                        <w:bottom w:val="none" w:sz="0" w:space="0" w:color="auto"/>
                        <w:right w:val="none" w:sz="0" w:space="0" w:color="auto"/>
                      </w:divBdr>
                      <w:divsChild>
                        <w:div w:id="1114599322">
                          <w:marLeft w:val="0"/>
                          <w:marRight w:val="0"/>
                          <w:marTop w:val="0"/>
                          <w:marBottom w:val="0"/>
                          <w:divBdr>
                            <w:top w:val="none" w:sz="0" w:space="0" w:color="auto"/>
                            <w:left w:val="none" w:sz="0" w:space="0" w:color="auto"/>
                            <w:bottom w:val="none" w:sz="0" w:space="0" w:color="auto"/>
                            <w:right w:val="none" w:sz="0" w:space="0" w:color="auto"/>
                          </w:divBdr>
                          <w:divsChild>
                            <w:div w:id="555819252">
                              <w:marLeft w:val="-390"/>
                              <w:marRight w:val="-390"/>
                              <w:marTop w:val="0"/>
                              <w:marBottom w:val="360"/>
                              <w:divBdr>
                                <w:top w:val="none" w:sz="0" w:space="0" w:color="auto"/>
                                <w:left w:val="none" w:sz="0" w:space="0" w:color="auto"/>
                                <w:bottom w:val="single" w:sz="2" w:space="18" w:color="E9EFF3"/>
                                <w:right w:val="none" w:sz="0" w:space="0" w:color="auto"/>
                              </w:divBdr>
                              <w:divsChild>
                                <w:div w:id="190213278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1C1E93270748499DB197B439E53E4D" ma:contentTypeVersion="12" ma:contentTypeDescription="Create a new document." ma:contentTypeScope="" ma:versionID="701093433a13efadbb34d3041506a798">
  <xsd:schema xmlns:xsd="http://www.w3.org/2001/XMLSchema" xmlns:xs="http://www.w3.org/2001/XMLSchema" xmlns:p="http://schemas.microsoft.com/office/2006/metadata/properties" xmlns:ns2="cd0c9a8f-f6b4-4a3b-94df-3c17659d98a3" xmlns:ns3="a96395f8-9886-4737-b97b-2b0ae1b8c9ba" targetNamespace="http://schemas.microsoft.com/office/2006/metadata/properties" ma:root="true" ma:fieldsID="53db0aaab163605df24c0a221e18ab09" ns2:_="" ns3:_="">
    <xsd:import namespace="cd0c9a8f-f6b4-4a3b-94df-3c17659d98a3"/>
    <xsd:import namespace="a96395f8-9886-4737-b97b-2b0ae1b8c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c9a8f-f6b4-4a3b-94df-3c17659d9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8de68c-6f9b-4901-8717-6af19e49e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395f8-9886-4737-b97b-2b0ae1b8c9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eeb741-2ff2-44a6-b775-953322ebc85d}" ma:internalName="TaxCatchAll" ma:showField="CatchAllData" ma:web="a96395f8-9886-4737-b97b-2b0ae1b8c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6395f8-9886-4737-b97b-2b0ae1b8c9ba" xsi:nil="true"/>
    <lcf76f155ced4ddcb4097134ff3c332f xmlns="cd0c9a8f-f6b4-4a3b-94df-3c17659d98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9D1F31-C505-419A-91E2-F00C6282E0A9}"/>
</file>

<file path=customXml/itemProps2.xml><?xml version="1.0" encoding="utf-8"?>
<ds:datastoreItem xmlns:ds="http://schemas.openxmlformats.org/officeDocument/2006/customXml" ds:itemID="{C99D7B23-C992-4C92-AED6-260B62E0756D}">
  <ds:schemaRefs>
    <ds:schemaRef ds:uri="http://schemas.microsoft.com/sharepoint/v3/contenttype/forms"/>
  </ds:schemaRefs>
</ds:datastoreItem>
</file>

<file path=customXml/itemProps3.xml><?xml version="1.0" encoding="utf-8"?>
<ds:datastoreItem xmlns:ds="http://schemas.openxmlformats.org/officeDocument/2006/customXml" ds:itemID="{2A7E2154-B9A2-49B5-AC92-AD015C457AAA}">
  <ds:schemaRefs>
    <ds:schemaRef ds:uri="http://schemas.microsoft.com/office/2006/metadata/properties"/>
    <ds:schemaRef ds:uri="http://schemas.microsoft.com/office/infopath/2007/PartnerControls"/>
    <ds:schemaRef ds:uri="2bae5ca5-a411-4c5c-a5c4-20de72600638"/>
    <ds:schemaRef ds:uri="e68ba9a3-e65a-4a53-aa88-e1de1f2da85a"/>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7</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Child Safety Policy</vt:lpstr>
    </vt:vector>
  </TitlesOfParts>
  <Company>Toshiba</Company>
  <LinksUpToDate>false</LinksUpToDate>
  <CharactersWithSpaces>11991</CharactersWithSpaces>
  <SharedDoc>false</SharedDoc>
  <HLinks>
    <vt:vector size="6" baseType="variant">
      <vt:variant>
        <vt:i4>4522020</vt:i4>
      </vt:variant>
      <vt:variant>
        <vt:i4>3</vt:i4>
      </vt:variant>
      <vt:variant>
        <vt:i4>0</vt:i4>
      </vt:variant>
      <vt:variant>
        <vt:i4>5</vt:i4>
      </vt:variant>
      <vt:variant>
        <vt:lpwstr>http://www5.austlii.edu.au/au/legis/vic/consol_act/rta1997207/s91zq.html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Policy</dc:title>
  <dc:subject/>
  <dc:creator>Kayla Ta</dc:creator>
  <cp:keywords/>
  <dc:description/>
  <cp:lastModifiedBy>Laura Tucker</cp:lastModifiedBy>
  <cp:revision>87</cp:revision>
  <cp:lastPrinted>2016-05-10T07:06:00Z</cp:lastPrinted>
  <dcterms:created xsi:type="dcterms:W3CDTF">2025-02-18T02:37:00Z</dcterms:created>
  <dcterms:modified xsi:type="dcterms:W3CDTF">2025-07-29T04:33:00Z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toreID0">
    <vt:lpwstr>0000000038A1BB1005E5101AA1BB08002B2A56C200006D737073742E646C6C00000000004E495441F9BFB80100AA0037D96E0000000043003A005C00550073006500720073005C006B006100720065006E005C0041007000700044006100740061005C004C006F00630061006C005C004D006900630072006F0073006F00660</vt:lpwstr>
  </property>
  <property fmtid="{D5CDD505-2E9C-101B-9397-08002B2CF9AE}" pid="4" name="_EmailStoreID1">
    <vt:lpwstr>074005C004F00750074006C006F006F006B005C004F00750074006C006F006F006B002E007000730074000000</vt:lpwstr>
  </property>
  <property fmtid="{D5CDD505-2E9C-101B-9397-08002B2CF9AE}" pid="5" name="MediaServiceImageTags">
    <vt:lpwstr/>
  </property>
  <property fmtid="{D5CDD505-2E9C-101B-9397-08002B2CF9AE}" pid="6" name="MSIP_Label_0af6f0ca-ef67-45cd-b564-47d53e6b99ae_Enabled">
    <vt:lpwstr>true</vt:lpwstr>
  </property>
  <property fmtid="{D5CDD505-2E9C-101B-9397-08002B2CF9AE}" pid="7" name="MSIP_Label_0af6f0ca-ef67-45cd-b564-47d53e6b99ae_SetDate">
    <vt:lpwstr>2025-07-21T22:35:56Z</vt:lpwstr>
  </property>
  <property fmtid="{D5CDD505-2E9C-101B-9397-08002B2CF9AE}" pid="8" name="MSIP_Label_0af6f0ca-ef67-45cd-b564-47d53e6b99ae_Method">
    <vt:lpwstr>Standard</vt:lpwstr>
  </property>
  <property fmtid="{D5CDD505-2E9C-101B-9397-08002B2CF9AE}" pid="9" name="MSIP_Label_0af6f0ca-ef67-45cd-b564-47d53e6b99ae_Name">
    <vt:lpwstr>defa4170-0d19-0005-0004-bc88714345d2</vt:lpwstr>
  </property>
  <property fmtid="{D5CDD505-2E9C-101B-9397-08002B2CF9AE}" pid="10" name="MSIP_Label_0af6f0ca-ef67-45cd-b564-47d53e6b99ae_SiteId">
    <vt:lpwstr>be927898-fb2a-4dff-8479-16b44696e0b9</vt:lpwstr>
  </property>
  <property fmtid="{D5CDD505-2E9C-101B-9397-08002B2CF9AE}" pid="11" name="MSIP_Label_0af6f0ca-ef67-45cd-b564-47d53e6b99ae_ActionId">
    <vt:lpwstr>e905478c-6965-4d33-9c1b-e4ca74225462</vt:lpwstr>
  </property>
  <property fmtid="{D5CDD505-2E9C-101B-9397-08002B2CF9AE}" pid="12" name="MSIP_Label_0af6f0ca-ef67-45cd-b564-47d53e6b99ae_ContentBits">
    <vt:lpwstr>0</vt:lpwstr>
  </property>
  <property fmtid="{D5CDD505-2E9C-101B-9397-08002B2CF9AE}" pid="13" name="MSIP_Label_0af6f0ca-ef67-45cd-b564-47d53e6b99ae_Tag">
    <vt:lpwstr>10, 3, 0, 1</vt:lpwstr>
  </property>
  <property fmtid="{D5CDD505-2E9C-101B-9397-08002B2CF9AE}" pid="14" name="ContentTypeId">
    <vt:lpwstr>0x010100421C1E93270748499DB197B439E53E4D</vt:lpwstr>
  </property>
</Properties>
</file>