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B75A" w14:textId="664B4C31" w:rsidR="00C61528" w:rsidRPr="00C61528" w:rsidRDefault="005966E5" w:rsidP="00C61528">
      <w:pPr>
        <w:tabs>
          <w:tab w:val="left" w:pos="1440"/>
        </w:tabs>
        <w:jc w:val="right"/>
        <w:rPr>
          <w:b/>
          <w:bCs/>
          <w:sz w:val="32"/>
          <w:szCs w:val="32"/>
        </w:rPr>
      </w:pPr>
      <w:r>
        <w:rPr>
          <w:b/>
          <w:bCs/>
          <w:sz w:val="32"/>
          <w:szCs w:val="32"/>
        </w:rPr>
        <w:t>Rent Setting and Review Policy</w:t>
      </w:r>
    </w:p>
    <w:p w14:paraId="6E46BDE7" w14:textId="77777777" w:rsidR="00C61528" w:rsidRDefault="00C61528"/>
    <w:tbl>
      <w:tblPr>
        <w:tblW w:w="9648" w:type="dxa"/>
        <w:tblLook w:val="01E0" w:firstRow="1" w:lastRow="1" w:firstColumn="1" w:lastColumn="1" w:noHBand="0" w:noVBand="0"/>
      </w:tblPr>
      <w:tblGrid>
        <w:gridCol w:w="3888"/>
        <w:gridCol w:w="1800"/>
        <w:gridCol w:w="3960"/>
      </w:tblGrid>
      <w:tr w:rsidR="00BD0F49" w:rsidRPr="006D1AD1" w14:paraId="2B7713DF" w14:textId="77777777" w:rsidTr="00C61528">
        <w:tc>
          <w:tcPr>
            <w:tcW w:w="3888" w:type="dxa"/>
            <w:vMerge w:val="restart"/>
          </w:tcPr>
          <w:p w14:paraId="2AF02854" w14:textId="77777777" w:rsidR="00BD0F49" w:rsidRDefault="0030455D" w:rsidP="00961575">
            <w:pPr>
              <w:pStyle w:val="Normal2"/>
              <w:rPr>
                <w:rFonts w:eastAsia="Arial Unicode MS"/>
                <w:b/>
                <w:szCs w:val="22"/>
              </w:rPr>
            </w:pPr>
            <w:r>
              <w:rPr>
                <w:rFonts w:eastAsia="Arial Unicode MS"/>
                <w:b/>
                <w:szCs w:val="22"/>
              </w:rPr>
              <w:pict w14:anchorId="01DCD7C0">
                <v:shape id="_x0000_i1026" type="#_x0000_t75" style="width:174pt;height:60pt;mso-position-horizontal-relative:char;mso-position-vertical-relative:line">
                  <v:imagedata r:id="rId10" o:title=""/>
                </v:shape>
              </w:pict>
            </w:r>
          </w:p>
        </w:tc>
        <w:tc>
          <w:tcPr>
            <w:tcW w:w="1800" w:type="dxa"/>
          </w:tcPr>
          <w:p w14:paraId="5A47D716" w14:textId="77777777" w:rsidR="00BD0F49" w:rsidRPr="006D1AD1" w:rsidRDefault="00BD0F49" w:rsidP="00C61528">
            <w:pPr>
              <w:pStyle w:val="Normal2"/>
              <w:spacing w:before="0" w:after="0"/>
              <w:rPr>
                <w:rFonts w:eastAsia="Arial Unicode MS"/>
                <w:b/>
                <w:szCs w:val="22"/>
              </w:rPr>
            </w:pPr>
            <w:r>
              <w:rPr>
                <w:rFonts w:eastAsia="Arial Unicode MS"/>
                <w:b/>
                <w:szCs w:val="22"/>
              </w:rPr>
              <w:t>Owner:</w:t>
            </w:r>
          </w:p>
        </w:tc>
        <w:tc>
          <w:tcPr>
            <w:tcW w:w="3960" w:type="dxa"/>
          </w:tcPr>
          <w:p w14:paraId="11134628" w14:textId="22329D55" w:rsidR="00BD0F49" w:rsidRPr="006D1AD1" w:rsidRDefault="00D32C30" w:rsidP="00C61528">
            <w:pPr>
              <w:pStyle w:val="Normal2"/>
              <w:spacing w:before="0" w:after="0"/>
              <w:rPr>
                <w:rFonts w:eastAsia="Arial Unicode MS"/>
                <w:szCs w:val="22"/>
              </w:rPr>
            </w:pPr>
            <w:r>
              <w:rPr>
                <w:rFonts w:eastAsia="Arial Unicode MS"/>
                <w:szCs w:val="22"/>
              </w:rPr>
              <w:t>Kate Ogilvie</w:t>
            </w:r>
          </w:p>
        </w:tc>
      </w:tr>
      <w:tr w:rsidR="00BD0F49" w:rsidRPr="006D1AD1" w14:paraId="09EDF48F" w14:textId="77777777" w:rsidTr="00C61528">
        <w:tc>
          <w:tcPr>
            <w:tcW w:w="3888" w:type="dxa"/>
            <w:vMerge/>
          </w:tcPr>
          <w:p w14:paraId="1242135A" w14:textId="77777777" w:rsidR="00BD0F49" w:rsidRDefault="00BD0F49" w:rsidP="00961575">
            <w:pPr>
              <w:pStyle w:val="Normal2"/>
              <w:rPr>
                <w:rFonts w:eastAsia="Arial Unicode MS"/>
                <w:b/>
                <w:szCs w:val="22"/>
              </w:rPr>
            </w:pPr>
          </w:p>
        </w:tc>
        <w:tc>
          <w:tcPr>
            <w:tcW w:w="1800" w:type="dxa"/>
          </w:tcPr>
          <w:p w14:paraId="0BED2629" w14:textId="77777777" w:rsidR="00BD0F49" w:rsidRPr="006D1AD1" w:rsidRDefault="00BD0F49" w:rsidP="00C61528">
            <w:pPr>
              <w:pStyle w:val="Normal2"/>
              <w:spacing w:before="0" w:after="0"/>
              <w:rPr>
                <w:rFonts w:eastAsia="Arial Unicode MS"/>
                <w:b/>
                <w:szCs w:val="22"/>
              </w:rPr>
            </w:pPr>
            <w:r>
              <w:rPr>
                <w:rFonts w:eastAsia="Arial Unicode MS"/>
                <w:b/>
                <w:szCs w:val="22"/>
              </w:rPr>
              <w:t>Version</w:t>
            </w:r>
            <w:r w:rsidRPr="006D1AD1">
              <w:rPr>
                <w:rFonts w:eastAsia="Arial Unicode MS"/>
                <w:b/>
                <w:szCs w:val="22"/>
              </w:rPr>
              <w:t>:</w:t>
            </w:r>
          </w:p>
        </w:tc>
        <w:tc>
          <w:tcPr>
            <w:tcW w:w="3960" w:type="dxa"/>
          </w:tcPr>
          <w:p w14:paraId="23DDAACB" w14:textId="05137B03" w:rsidR="00BD0F49" w:rsidRDefault="00D32C30" w:rsidP="00C61528">
            <w:pPr>
              <w:pStyle w:val="Normal2"/>
              <w:spacing w:before="0" w:after="0"/>
              <w:rPr>
                <w:rFonts w:eastAsia="Arial Unicode MS"/>
                <w:szCs w:val="22"/>
              </w:rPr>
            </w:pPr>
            <w:r>
              <w:rPr>
                <w:rFonts w:eastAsia="Arial Unicode MS"/>
                <w:szCs w:val="22"/>
              </w:rPr>
              <w:t>5</w:t>
            </w:r>
          </w:p>
        </w:tc>
      </w:tr>
      <w:tr w:rsidR="00BD0F49" w:rsidRPr="006D1AD1" w14:paraId="3AE02A6F" w14:textId="77777777" w:rsidTr="00C61528">
        <w:tc>
          <w:tcPr>
            <w:tcW w:w="3888" w:type="dxa"/>
            <w:vMerge/>
          </w:tcPr>
          <w:p w14:paraId="08CBB804" w14:textId="77777777" w:rsidR="00BD0F49" w:rsidRDefault="00BD0F49" w:rsidP="00961575">
            <w:pPr>
              <w:pStyle w:val="Normal2"/>
              <w:rPr>
                <w:rFonts w:eastAsia="Arial Unicode MS"/>
                <w:b/>
                <w:szCs w:val="22"/>
              </w:rPr>
            </w:pPr>
          </w:p>
        </w:tc>
        <w:tc>
          <w:tcPr>
            <w:tcW w:w="1800" w:type="dxa"/>
          </w:tcPr>
          <w:p w14:paraId="0A5F2F6C" w14:textId="77777777" w:rsidR="00BD0F49" w:rsidRPr="006D1AD1" w:rsidRDefault="00BD0F49" w:rsidP="00C61528">
            <w:pPr>
              <w:pStyle w:val="Normal2"/>
              <w:spacing w:before="0" w:after="0"/>
              <w:rPr>
                <w:rFonts w:eastAsia="Arial Unicode MS"/>
                <w:b/>
                <w:szCs w:val="22"/>
              </w:rPr>
            </w:pPr>
            <w:r>
              <w:rPr>
                <w:rFonts w:eastAsia="Arial Unicode MS"/>
                <w:b/>
                <w:szCs w:val="22"/>
              </w:rPr>
              <w:t>Endorsed by</w:t>
            </w:r>
            <w:r w:rsidRPr="006D1AD1">
              <w:rPr>
                <w:rFonts w:eastAsia="Arial Unicode MS"/>
                <w:b/>
                <w:szCs w:val="22"/>
              </w:rPr>
              <w:t>:</w:t>
            </w:r>
          </w:p>
        </w:tc>
        <w:tc>
          <w:tcPr>
            <w:tcW w:w="3960" w:type="dxa"/>
          </w:tcPr>
          <w:p w14:paraId="00AAFE08" w14:textId="5E0847D4" w:rsidR="00BD0F49" w:rsidRPr="006D1AD1" w:rsidRDefault="00D32C30" w:rsidP="00C61528">
            <w:pPr>
              <w:pStyle w:val="Normal2"/>
              <w:spacing w:before="0" w:after="0"/>
              <w:rPr>
                <w:rFonts w:eastAsia="Arial Unicode MS"/>
                <w:szCs w:val="22"/>
              </w:rPr>
            </w:pPr>
            <w:r>
              <w:rPr>
                <w:rFonts w:eastAsia="Arial Unicode MS"/>
                <w:szCs w:val="22"/>
              </w:rPr>
              <w:t>Operational Management Group</w:t>
            </w:r>
          </w:p>
        </w:tc>
      </w:tr>
      <w:tr w:rsidR="00BD0F49" w:rsidRPr="006D1AD1" w14:paraId="0C336263" w14:textId="77777777" w:rsidTr="00C61528">
        <w:tc>
          <w:tcPr>
            <w:tcW w:w="3888" w:type="dxa"/>
            <w:vMerge/>
          </w:tcPr>
          <w:p w14:paraId="44C8C0A3" w14:textId="77777777" w:rsidR="00BD0F49" w:rsidRDefault="00BD0F49" w:rsidP="008D6B2C">
            <w:pPr>
              <w:pStyle w:val="Normal2"/>
              <w:rPr>
                <w:rFonts w:eastAsia="Arial Unicode MS"/>
                <w:b/>
                <w:szCs w:val="22"/>
              </w:rPr>
            </w:pPr>
          </w:p>
        </w:tc>
        <w:tc>
          <w:tcPr>
            <w:tcW w:w="1800" w:type="dxa"/>
          </w:tcPr>
          <w:p w14:paraId="64930A20" w14:textId="77777777" w:rsidR="00BD0F49" w:rsidRPr="006D1AD1" w:rsidRDefault="00BD0F49" w:rsidP="00C61528">
            <w:pPr>
              <w:pStyle w:val="Normal2"/>
              <w:spacing w:before="0" w:after="0"/>
              <w:rPr>
                <w:rFonts w:eastAsia="Arial Unicode MS"/>
                <w:b/>
                <w:szCs w:val="22"/>
              </w:rPr>
            </w:pPr>
            <w:r>
              <w:rPr>
                <w:rFonts w:eastAsia="Arial Unicode MS"/>
                <w:b/>
                <w:szCs w:val="22"/>
              </w:rPr>
              <w:t>Issue date</w:t>
            </w:r>
            <w:r w:rsidRPr="006D1AD1">
              <w:rPr>
                <w:rFonts w:eastAsia="Arial Unicode MS"/>
                <w:b/>
                <w:szCs w:val="22"/>
              </w:rPr>
              <w:t>:</w:t>
            </w:r>
          </w:p>
        </w:tc>
        <w:tc>
          <w:tcPr>
            <w:tcW w:w="3960" w:type="dxa"/>
          </w:tcPr>
          <w:p w14:paraId="77F85074" w14:textId="1A4E8BF1" w:rsidR="00BD0F49" w:rsidRPr="006D1AD1" w:rsidRDefault="00B26132" w:rsidP="00C61528">
            <w:pPr>
              <w:pStyle w:val="Normal2"/>
              <w:spacing w:before="0" w:after="0"/>
              <w:rPr>
                <w:rFonts w:eastAsia="Arial Unicode MS"/>
                <w:szCs w:val="22"/>
              </w:rPr>
            </w:pPr>
            <w:r>
              <w:rPr>
                <w:rFonts w:eastAsia="Arial Unicode MS"/>
                <w:szCs w:val="22"/>
              </w:rPr>
              <w:t>3 February 2025</w:t>
            </w:r>
          </w:p>
        </w:tc>
      </w:tr>
      <w:tr w:rsidR="00BD0F49" w:rsidRPr="006D1AD1" w14:paraId="031B7F5B" w14:textId="77777777" w:rsidTr="00C61528">
        <w:tc>
          <w:tcPr>
            <w:tcW w:w="3888" w:type="dxa"/>
            <w:vMerge/>
          </w:tcPr>
          <w:p w14:paraId="2A522757" w14:textId="77777777" w:rsidR="00BD0F49" w:rsidRDefault="00BD0F49" w:rsidP="00961575">
            <w:pPr>
              <w:pStyle w:val="Normal2"/>
              <w:rPr>
                <w:rFonts w:eastAsia="Arial Unicode MS"/>
                <w:b/>
                <w:szCs w:val="22"/>
              </w:rPr>
            </w:pPr>
          </w:p>
        </w:tc>
        <w:tc>
          <w:tcPr>
            <w:tcW w:w="1800" w:type="dxa"/>
          </w:tcPr>
          <w:p w14:paraId="2CBBF100" w14:textId="77777777" w:rsidR="00BD0F49" w:rsidRPr="006D1AD1" w:rsidRDefault="00BD0F49" w:rsidP="00C61528">
            <w:pPr>
              <w:pStyle w:val="Normal2"/>
              <w:spacing w:before="0" w:after="0"/>
              <w:rPr>
                <w:rFonts w:eastAsia="Arial Unicode MS"/>
                <w:b/>
                <w:szCs w:val="22"/>
              </w:rPr>
            </w:pPr>
            <w:r>
              <w:rPr>
                <w:rFonts w:eastAsia="Arial Unicode MS"/>
                <w:b/>
                <w:szCs w:val="22"/>
              </w:rPr>
              <w:t>Review d</w:t>
            </w:r>
            <w:r w:rsidRPr="006D1AD1">
              <w:rPr>
                <w:rFonts w:eastAsia="Arial Unicode MS"/>
                <w:b/>
                <w:szCs w:val="22"/>
              </w:rPr>
              <w:t>ate:</w:t>
            </w:r>
          </w:p>
        </w:tc>
        <w:tc>
          <w:tcPr>
            <w:tcW w:w="3960" w:type="dxa"/>
          </w:tcPr>
          <w:p w14:paraId="41194FE9" w14:textId="7744BF8F" w:rsidR="00BD0F49" w:rsidRPr="006D1AD1" w:rsidRDefault="00B26132" w:rsidP="00C61528">
            <w:pPr>
              <w:pStyle w:val="Normal2"/>
              <w:spacing w:before="0" w:after="0"/>
              <w:rPr>
                <w:rFonts w:eastAsia="Arial Unicode MS"/>
                <w:szCs w:val="22"/>
              </w:rPr>
            </w:pPr>
            <w:r>
              <w:rPr>
                <w:rFonts w:eastAsia="Arial Unicode MS"/>
                <w:szCs w:val="22"/>
              </w:rPr>
              <w:t>3 February 2027</w:t>
            </w:r>
          </w:p>
        </w:tc>
      </w:tr>
    </w:tbl>
    <w:p w14:paraId="50F17424" w14:textId="77777777" w:rsidR="00B355C7" w:rsidRDefault="00B355C7" w:rsidP="00B355C7">
      <w:pPr>
        <w:rPr>
          <w:lang w:val="en-US"/>
        </w:rPr>
      </w:pPr>
    </w:p>
    <w:p w14:paraId="5A0157C1" w14:textId="77777777" w:rsidR="00B355C7" w:rsidRDefault="00B355C7" w:rsidP="002B11CF">
      <w:bookmarkStart w:id="0" w:name="_Toc391906724"/>
    </w:p>
    <w:p w14:paraId="00906D52" w14:textId="77777777" w:rsidR="00C61528" w:rsidRDefault="00C61528" w:rsidP="002B11CF"/>
    <w:p w14:paraId="3FBE8CF9" w14:textId="13306942" w:rsidR="00B15481" w:rsidRPr="007A2276" w:rsidRDefault="00B26132" w:rsidP="00901B95">
      <w:pPr>
        <w:pStyle w:val="Heading1"/>
      </w:pPr>
      <w:bookmarkStart w:id="1" w:name="bookmark2"/>
      <w:bookmarkEnd w:id="0"/>
      <w:bookmarkEnd w:id="1"/>
      <w:r>
        <w:t>Introduction</w:t>
      </w:r>
    </w:p>
    <w:p w14:paraId="069209E5" w14:textId="4E84EF43" w:rsidR="003B0860" w:rsidRDefault="003B0860" w:rsidP="003B0860">
      <w:pPr>
        <w:rPr>
          <w:rStyle w:val="hgkelc"/>
          <w:lang w:val="en"/>
        </w:rPr>
      </w:pPr>
      <w:r w:rsidRPr="003B0860">
        <w:rPr>
          <w:rStyle w:val="hgkelc"/>
          <w:lang w:val="en"/>
        </w:rPr>
        <w:t>Womens Housing Ltd (WHL) asserts that safe and secure housing is a right afforded to all women</w:t>
      </w:r>
      <w:r>
        <w:rPr>
          <w:rStyle w:val="hgkelc"/>
          <w:lang w:val="en"/>
        </w:rPr>
        <w:t>.</w:t>
      </w:r>
    </w:p>
    <w:p w14:paraId="283F669D" w14:textId="77777777" w:rsidR="003B0860" w:rsidRDefault="003B0860" w:rsidP="003B0860">
      <w:pPr>
        <w:rPr>
          <w:rStyle w:val="hgkelc"/>
          <w:lang w:val="en"/>
        </w:rPr>
      </w:pPr>
    </w:p>
    <w:p w14:paraId="2B9245FF" w14:textId="1375C626" w:rsidR="003B0860" w:rsidRDefault="003B0860" w:rsidP="003B0860">
      <w:pPr>
        <w:rPr>
          <w:rStyle w:val="hgkelc"/>
          <w:lang w:val="en"/>
        </w:rPr>
      </w:pPr>
      <w:r>
        <w:rPr>
          <w:rStyle w:val="hgkelc"/>
          <w:lang w:val="en"/>
        </w:rPr>
        <w:t xml:space="preserve">WHL delivers services [that are]: </w:t>
      </w:r>
    </w:p>
    <w:p w14:paraId="25941D22" w14:textId="77777777" w:rsidR="003B0860" w:rsidRDefault="003B0860" w:rsidP="003B0860">
      <w:pPr>
        <w:numPr>
          <w:ilvl w:val="0"/>
          <w:numId w:val="38"/>
        </w:numPr>
        <w:rPr>
          <w:rStyle w:val="hgkelc"/>
          <w:lang w:val="en"/>
        </w:rPr>
      </w:pPr>
      <w:r>
        <w:rPr>
          <w:rStyle w:val="hgkelc"/>
          <w:lang w:val="en"/>
        </w:rPr>
        <w:t xml:space="preserve">culturally appropriate </w:t>
      </w:r>
    </w:p>
    <w:p w14:paraId="3E2E5E7E" w14:textId="77777777" w:rsidR="003B0860" w:rsidRDefault="003B0860" w:rsidP="003B0860">
      <w:pPr>
        <w:numPr>
          <w:ilvl w:val="0"/>
          <w:numId w:val="38"/>
        </w:numPr>
        <w:rPr>
          <w:rStyle w:val="hgkelc"/>
          <w:lang w:val="en"/>
        </w:rPr>
      </w:pPr>
      <w:r>
        <w:rPr>
          <w:rStyle w:val="hgkelc"/>
          <w:lang w:val="en"/>
        </w:rPr>
        <w:t xml:space="preserve">accessible to all women, </w:t>
      </w:r>
    </w:p>
    <w:p w14:paraId="13EBEA02" w14:textId="72AAC16B" w:rsidR="003B0860" w:rsidRDefault="003B0860" w:rsidP="003B0860">
      <w:pPr>
        <w:numPr>
          <w:ilvl w:val="0"/>
          <w:numId w:val="38"/>
        </w:numPr>
        <w:rPr>
          <w:rStyle w:val="hgkelc"/>
          <w:lang w:val="en"/>
        </w:rPr>
      </w:pPr>
      <w:r>
        <w:rPr>
          <w:rStyle w:val="hgkelc"/>
          <w:lang w:val="en"/>
        </w:rPr>
        <w:t xml:space="preserve">uphold the principles of self-determination, </w:t>
      </w:r>
    </w:p>
    <w:p w14:paraId="5C7D0739" w14:textId="77777777" w:rsidR="003B0860" w:rsidRPr="007606B5" w:rsidRDefault="003B0860" w:rsidP="003B0860">
      <w:pPr>
        <w:numPr>
          <w:ilvl w:val="0"/>
          <w:numId w:val="38"/>
        </w:numPr>
        <w:rPr>
          <w:rStyle w:val="hgkelc"/>
          <w:lang w:val="en"/>
        </w:rPr>
      </w:pPr>
      <w:r>
        <w:rPr>
          <w:rStyle w:val="hgkelc"/>
          <w:lang w:val="en"/>
        </w:rPr>
        <w:t xml:space="preserve">underpinned by respect and dignity. </w:t>
      </w:r>
    </w:p>
    <w:p w14:paraId="3417E33F" w14:textId="77777777" w:rsidR="003B0860" w:rsidRDefault="003B0860" w:rsidP="003B0860">
      <w:pPr>
        <w:rPr>
          <w:rStyle w:val="hgkelc"/>
          <w:lang w:val="en"/>
        </w:rPr>
      </w:pPr>
    </w:p>
    <w:p w14:paraId="438AEDE6" w14:textId="0E9CE55D" w:rsidR="003B0860" w:rsidRDefault="003B0860" w:rsidP="003B0860">
      <w:proofErr w:type="gramStart"/>
      <w:r>
        <w:rPr>
          <w:rStyle w:val="hgkelc"/>
          <w:lang w:val="en"/>
        </w:rPr>
        <w:t>In order to</w:t>
      </w:r>
      <w:proofErr w:type="gramEnd"/>
      <w:r>
        <w:rPr>
          <w:rStyle w:val="hgkelc"/>
          <w:lang w:val="en"/>
        </w:rPr>
        <w:t xml:space="preserve"> achieve these aims, WHL </w:t>
      </w:r>
      <w:r>
        <w:t>sets rents that balance affordability for renters and financial viability for WHL.</w:t>
      </w:r>
    </w:p>
    <w:p w14:paraId="1E097D4A" w14:textId="77777777" w:rsidR="00B15481" w:rsidRPr="007A2276" w:rsidRDefault="00B15481" w:rsidP="00B15481">
      <w:pPr>
        <w:pStyle w:val="Normal2"/>
      </w:pPr>
    </w:p>
    <w:p w14:paraId="6D183DFF" w14:textId="5395104C" w:rsidR="00B15481" w:rsidRPr="007A2276" w:rsidRDefault="00046E7E" w:rsidP="00B15481">
      <w:pPr>
        <w:pStyle w:val="Heading1"/>
      </w:pPr>
      <w:r>
        <w:t>Purpose</w:t>
      </w:r>
    </w:p>
    <w:p w14:paraId="0BA2B5A3" w14:textId="77777777" w:rsidR="00046E7E" w:rsidRDefault="00046E7E" w:rsidP="00046E7E">
      <w:r>
        <w:t>The purpose of this policy is to provide guidance to Women’s Housing Ltd Management and Staff about the processes for determining, setting and reviewing rents within its property portfolio.</w:t>
      </w:r>
    </w:p>
    <w:p w14:paraId="5477B734" w14:textId="77777777" w:rsidR="00B15481" w:rsidRPr="007A2276" w:rsidRDefault="00B15481" w:rsidP="00B15481">
      <w:pPr>
        <w:pStyle w:val="Normal2"/>
        <w:rPr>
          <w:rFonts w:cs="Lucida Sans Unicode"/>
          <w:lang w:eastAsia="en-AU"/>
        </w:rPr>
      </w:pPr>
    </w:p>
    <w:p w14:paraId="0FBC2DE5" w14:textId="663EB849" w:rsidR="00B15481" w:rsidRDefault="00046E7E" w:rsidP="00B15481">
      <w:pPr>
        <w:pStyle w:val="Heading1"/>
      </w:pPr>
      <w:r>
        <w:t>Statement of commitment</w:t>
      </w:r>
    </w:p>
    <w:p w14:paraId="6EF80100" w14:textId="77777777" w:rsidR="006E6F91" w:rsidRDefault="006E6F91" w:rsidP="006E6F91">
      <w:pPr>
        <w:pStyle w:val="Normal2"/>
      </w:pPr>
      <w:r>
        <w:t>WHL is committed to:</w:t>
      </w:r>
    </w:p>
    <w:p w14:paraId="3B4B59E8" w14:textId="77777777" w:rsidR="006E6F91" w:rsidRDefault="006E6F91" w:rsidP="006E6F91">
      <w:pPr>
        <w:pStyle w:val="Bulleted"/>
        <w:numPr>
          <w:ilvl w:val="0"/>
          <w:numId w:val="39"/>
        </w:numPr>
        <w:tabs>
          <w:tab w:val="left" w:pos="0"/>
        </w:tabs>
        <w:ind w:hanging="720"/>
      </w:pPr>
      <w:r>
        <w:t xml:space="preserve">fairness and transparency in rent setting and rent reviews </w:t>
      </w:r>
    </w:p>
    <w:p w14:paraId="54C4EB54" w14:textId="77777777" w:rsidR="006E6F91" w:rsidRDefault="006E6F91" w:rsidP="006E6F91">
      <w:pPr>
        <w:pStyle w:val="Bulleted"/>
        <w:numPr>
          <w:ilvl w:val="0"/>
          <w:numId w:val="39"/>
        </w:numPr>
        <w:tabs>
          <w:tab w:val="left" w:pos="0"/>
        </w:tabs>
        <w:ind w:hanging="720"/>
      </w:pPr>
      <w:r>
        <w:t xml:space="preserve">provision of clear and accessible information to renters </w:t>
      </w:r>
    </w:p>
    <w:p w14:paraId="2184CB63" w14:textId="77777777" w:rsidR="006E6F91" w:rsidRDefault="006E6F91" w:rsidP="006E6F91">
      <w:pPr>
        <w:pStyle w:val="Bulleted"/>
        <w:numPr>
          <w:ilvl w:val="0"/>
          <w:numId w:val="39"/>
        </w:numPr>
        <w:tabs>
          <w:tab w:val="left" w:pos="0"/>
        </w:tabs>
        <w:ind w:hanging="720"/>
      </w:pPr>
      <w:r>
        <w:rPr>
          <w:rFonts w:eastAsia="Calibri"/>
          <w:lang w:val="en"/>
        </w:rPr>
        <w:t>ensuring the accuracy of assessments</w:t>
      </w:r>
    </w:p>
    <w:p w14:paraId="7E7B4E95" w14:textId="77777777" w:rsidR="006E6F91" w:rsidRDefault="006E6F91" w:rsidP="006E6F91">
      <w:pPr>
        <w:pStyle w:val="Bulleted"/>
        <w:numPr>
          <w:ilvl w:val="0"/>
          <w:numId w:val="39"/>
        </w:numPr>
        <w:tabs>
          <w:tab w:val="left" w:pos="0"/>
        </w:tabs>
        <w:ind w:hanging="720"/>
      </w:pPr>
      <w:r>
        <w:t>assisting and supporting renters experiencing financial or other hardship</w:t>
      </w:r>
    </w:p>
    <w:p w14:paraId="5B829E1E" w14:textId="77777777" w:rsidR="006E6F91" w:rsidRDefault="006E6F91" w:rsidP="006E6F91">
      <w:pPr>
        <w:pStyle w:val="Bulleted"/>
        <w:numPr>
          <w:ilvl w:val="0"/>
          <w:numId w:val="39"/>
        </w:numPr>
        <w:tabs>
          <w:tab w:val="left" w:pos="0"/>
        </w:tabs>
        <w:ind w:hanging="720"/>
      </w:pPr>
      <w:r>
        <w:t xml:space="preserve">ensuring </w:t>
      </w:r>
      <w:r w:rsidRPr="00D867B9">
        <w:rPr>
          <w:rFonts w:eastAsia="Calibri"/>
          <w:lang w:val="en"/>
        </w:rPr>
        <w:t xml:space="preserve">the rights of renters and their household members are protected </w:t>
      </w:r>
    </w:p>
    <w:p w14:paraId="3CF8C5A2" w14:textId="77777777" w:rsidR="006E6F91" w:rsidRDefault="006E6F91" w:rsidP="006E6F91">
      <w:pPr>
        <w:pStyle w:val="Bulleted"/>
        <w:numPr>
          <w:ilvl w:val="0"/>
          <w:numId w:val="39"/>
        </w:numPr>
        <w:tabs>
          <w:tab w:val="left" w:pos="0"/>
        </w:tabs>
        <w:ind w:hanging="720"/>
        <w:rPr>
          <w:rFonts w:eastAsia="Calibri"/>
          <w:i/>
          <w:iCs/>
          <w:lang w:val="en"/>
        </w:rPr>
      </w:pPr>
      <w:r>
        <w:rPr>
          <w:rFonts w:eastAsia="Calibri"/>
          <w:lang w:val="en"/>
        </w:rPr>
        <w:t>c</w:t>
      </w:r>
      <w:r w:rsidRPr="000869CC">
        <w:rPr>
          <w:rFonts w:eastAsia="Calibri"/>
          <w:lang w:val="en"/>
        </w:rPr>
        <w:t>onsider</w:t>
      </w:r>
      <w:r>
        <w:rPr>
          <w:rFonts w:eastAsia="Calibri"/>
          <w:lang w:val="en"/>
        </w:rPr>
        <w:t>ing</w:t>
      </w:r>
      <w:r w:rsidRPr="000869CC">
        <w:rPr>
          <w:rFonts w:eastAsia="Calibri"/>
          <w:lang w:val="en"/>
        </w:rPr>
        <w:t xml:space="preserve"> the potential impact of any proposed action on the renter’s (and their household’s) rights under the </w:t>
      </w:r>
      <w:r w:rsidRPr="000869CC">
        <w:rPr>
          <w:rFonts w:eastAsia="Calibri"/>
          <w:i/>
          <w:iCs/>
          <w:lang w:val="en"/>
        </w:rPr>
        <w:t>Charter of Human Rights and Responsibilities (2006)</w:t>
      </w:r>
    </w:p>
    <w:p w14:paraId="2EC29E6F" w14:textId="77777777" w:rsidR="006E6F91" w:rsidRPr="000869CC" w:rsidRDefault="006E6F91" w:rsidP="006E6F91">
      <w:pPr>
        <w:pStyle w:val="Bulleted"/>
        <w:numPr>
          <w:ilvl w:val="0"/>
          <w:numId w:val="39"/>
        </w:numPr>
        <w:tabs>
          <w:tab w:val="left" w:pos="0"/>
        </w:tabs>
        <w:ind w:hanging="720"/>
        <w:rPr>
          <w:rFonts w:eastAsia="Calibri"/>
          <w:i/>
          <w:iCs/>
          <w:lang w:val="en"/>
        </w:rPr>
      </w:pPr>
      <w:r>
        <w:rPr>
          <w:rFonts w:eastAsia="Calibri"/>
          <w:lang w:val="en"/>
        </w:rPr>
        <w:t xml:space="preserve">choosing the least restrictive measure available when </w:t>
      </w:r>
      <w:proofErr w:type="gramStart"/>
      <w:r>
        <w:rPr>
          <w:rFonts w:eastAsia="Calibri"/>
          <w:lang w:val="en"/>
        </w:rPr>
        <w:t>taking action</w:t>
      </w:r>
      <w:proofErr w:type="gramEnd"/>
      <w:r w:rsidRPr="000869CC">
        <w:rPr>
          <w:rFonts w:eastAsia="Calibri"/>
          <w:i/>
          <w:iCs/>
          <w:lang w:val="en"/>
        </w:rPr>
        <w:t xml:space="preserve"> </w:t>
      </w:r>
    </w:p>
    <w:p w14:paraId="5C777F8D" w14:textId="77777777" w:rsidR="00046E7E" w:rsidRPr="00046E7E" w:rsidRDefault="00046E7E" w:rsidP="00046E7E"/>
    <w:p w14:paraId="25FF92DD" w14:textId="663DC3C1" w:rsidR="00B15481" w:rsidRDefault="006E6F91" w:rsidP="006E6F91">
      <w:pPr>
        <w:pStyle w:val="Heading1"/>
      </w:pPr>
      <w:r>
        <w:t>Scope</w:t>
      </w:r>
    </w:p>
    <w:p w14:paraId="12858E46" w14:textId="77777777" w:rsidR="00EB30BD" w:rsidRDefault="00EB30BD" w:rsidP="00EB30BD">
      <w:pPr>
        <w:rPr>
          <w:lang w:val="en-AU"/>
        </w:rPr>
      </w:pPr>
      <w:r>
        <w:rPr>
          <w:lang w:val="en-AU"/>
        </w:rPr>
        <w:t>This policy applies to all WHL housing programs and to all employees whose work and duties relate to rent setting and reviews.</w:t>
      </w:r>
    </w:p>
    <w:p w14:paraId="09C3464C" w14:textId="77777777" w:rsidR="006E6F91" w:rsidRDefault="006E6F91" w:rsidP="006E6F91"/>
    <w:p w14:paraId="106FF0CF" w14:textId="0C7F20F2" w:rsidR="00EB30BD" w:rsidRDefault="00EB30BD" w:rsidP="00EB30BD">
      <w:pPr>
        <w:pStyle w:val="Heading1"/>
      </w:pPr>
      <w:r>
        <w:lastRenderedPageBreak/>
        <w:t>Policy</w:t>
      </w:r>
    </w:p>
    <w:p w14:paraId="223A4A3C" w14:textId="77777777" w:rsidR="004C6660" w:rsidRDefault="004C6660" w:rsidP="004C6660">
      <w:r>
        <w:t>In social housing, renters pay rent calculated as a percentage of their assessable household income, or less than 75 % (74.99%) of the market rent of the property, whichever is the lower.</w:t>
      </w:r>
    </w:p>
    <w:p w14:paraId="313E9705" w14:textId="77777777" w:rsidR="004C6660" w:rsidRDefault="004C6660" w:rsidP="004C6660">
      <w:r>
        <w:t>In Affordable Housing renters pay a percentage of the market rent, usually 74.99% of the market rent.</w:t>
      </w:r>
    </w:p>
    <w:p w14:paraId="4B86C2EC" w14:textId="77777777" w:rsidR="00EB30BD" w:rsidRDefault="00EB30BD" w:rsidP="00EB30BD"/>
    <w:p w14:paraId="493EB695" w14:textId="1B603321" w:rsidR="004C6660" w:rsidRDefault="004C6660" w:rsidP="004C6660">
      <w:pPr>
        <w:pStyle w:val="Heading2"/>
      </w:pPr>
      <w:r>
        <w:t>Rent calculation &amp; affordability</w:t>
      </w:r>
    </w:p>
    <w:p w14:paraId="524D84C5" w14:textId="77777777" w:rsidR="00F121CE" w:rsidRDefault="00F121CE" w:rsidP="00F121CE">
      <w:r>
        <w:t xml:space="preserve">Specific rent calculation methods are set out in the funding agreements with the </w:t>
      </w:r>
      <w:r w:rsidRPr="005B336D">
        <w:t>Department of Families, Fairness and Housing (DFFH)</w:t>
      </w:r>
      <w:r>
        <w:t xml:space="preserve"> and Homes Victoria. These methods can vary depending on the funding sources and agreements.</w:t>
      </w:r>
    </w:p>
    <w:p w14:paraId="470CA889" w14:textId="77777777" w:rsidR="00F121CE" w:rsidRDefault="00F121CE" w:rsidP="00F121CE"/>
    <w:p w14:paraId="02EB695D" w14:textId="1BE8A4F2" w:rsidR="00F121CE" w:rsidRDefault="00F121CE" w:rsidP="00F121CE">
      <w:r>
        <w:t>Applicants will be told what rent applies to an available property.</w:t>
      </w:r>
    </w:p>
    <w:p w14:paraId="6631B9DB" w14:textId="77777777" w:rsidR="00F121CE" w:rsidRDefault="00F121CE" w:rsidP="00F121CE"/>
    <w:p w14:paraId="1C35C890" w14:textId="245E0CE2" w:rsidR="00F121CE" w:rsidRDefault="00F121CE" w:rsidP="00F121CE">
      <w:r>
        <w:t>WHL will comply with all legal, contractual, and regulatory requirements when assessing eligibility and setting rent.</w:t>
      </w:r>
    </w:p>
    <w:p w14:paraId="3E8E99E1" w14:textId="77777777" w:rsidR="00F121CE" w:rsidRDefault="00F121CE" w:rsidP="00F121CE"/>
    <w:p w14:paraId="565C037F" w14:textId="5AB0F43C" w:rsidR="00F121CE" w:rsidRDefault="00F121CE" w:rsidP="00F121CE">
      <w:r>
        <w:t>WHL will not offer a tenancy to an applicant for housing unless it is satisfied that rent is affordable and sustainable. A general measure of housing affordability is that the total cost of accommodation does not exceed 30% of the household income.</w:t>
      </w:r>
    </w:p>
    <w:p w14:paraId="6EC9E118" w14:textId="77777777" w:rsidR="00F121CE" w:rsidRDefault="00F121CE" w:rsidP="00F121CE"/>
    <w:p w14:paraId="22FEFF0C" w14:textId="7FB21B2F" w:rsidR="00F121CE" w:rsidRDefault="00F121CE" w:rsidP="00F121CE">
      <w:r>
        <w:t>The following table sets out the requirements for specific programs:</w:t>
      </w:r>
    </w:p>
    <w:p w14:paraId="497DBD7C" w14:textId="77777777" w:rsidR="00F121CE" w:rsidRDefault="00F121CE" w:rsidP="00F121CE"/>
    <w:tbl>
      <w:tblPr>
        <w:tblW w:w="9046" w:type="dxa"/>
        <w:tblInd w:w="108" w:type="dxa"/>
        <w:tblLook w:val="0000" w:firstRow="0" w:lastRow="0" w:firstColumn="0" w:lastColumn="0" w:noHBand="0" w:noVBand="0"/>
      </w:tblPr>
      <w:tblGrid>
        <w:gridCol w:w="1565"/>
        <w:gridCol w:w="2404"/>
        <w:gridCol w:w="5077"/>
      </w:tblGrid>
      <w:tr w:rsidR="00F121CE" w14:paraId="6DCE4DB0" w14:textId="77777777" w:rsidTr="002E3F3A">
        <w:tc>
          <w:tcPr>
            <w:tcW w:w="1565" w:type="dxa"/>
            <w:tcBorders>
              <w:top w:val="single" w:sz="4" w:space="0" w:color="000000"/>
              <w:left w:val="single" w:sz="4" w:space="0" w:color="000000"/>
              <w:bottom w:val="single" w:sz="4" w:space="0" w:color="000000"/>
              <w:right w:val="single" w:sz="4" w:space="0" w:color="000000"/>
            </w:tcBorders>
            <w:shd w:val="clear" w:color="auto" w:fill="C0C0C0"/>
          </w:tcPr>
          <w:p w14:paraId="2B8B3605" w14:textId="77777777" w:rsidR="00F121CE" w:rsidRDefault="00F121CE" w:rsidP="002E3F3A">
            <w:pPr>
              <w:jc w:val="center"/>
            </w:pPr>
            <w:r>
              <w:t>Program</w:t>
            </w:r>
          </w:p>
        </w:tc>
        <w:tc>
          <w:tcPr>
            <w:tcW w:w="2404" w:type="dxa"/>
            <w:tcBorders>
              <w:top w:val="single" w:sz="4" w:space="0" w:color="000000"/>
              <w:left w:val="single" w:sz="4" w:space="0" w:color="000000"/>
              <w:bottom w:val="single" w:sz="4" w:space="0" w:color="000000"/>
              <w:right w:val="single" w:sz="4" w:space="0" w:color="000000"/>
            </w:tcBorders>
            <w:shd w:val="clear" w:color="auto" w:fill="C0C0C0"/>
          </w:tcPr>
          <w:p w14:paraId="16A41C4F" w14:textId="77777777" w:rsidR="00F121CE" w:rsidRDefault="00F121CE" w:rsidP="002E3F3A">
            <w:pPr>
              <w:jc w:val="center"/>
            </w:pPr>
            <w:r>
              <w:t>Description</w:t>
            </w:r>
          </w:p>
        </w:tc>
        <w:tc>
          <w:tcPr>
            <w:tcW w:w="5077" w:type="dxa"/>
            <w:tcBorders>
              <w:top w:val="single" w:sz="4" w:space="0" w:color="000000"/>
              <w:left w:val="single" w:sz="4" w:space="0" w:color="000000"/>
              <w:bottom w:val="single" w:sz="4" w:space="0" w:color="000000"/>
              <w:right w:val="single" w:sz="4" w:space="0" w:color="000000"/>
            </w:tcBorders>
            <w:shd w:val="clear" w:color="auto" w:fill="C0C0C0"/>
          </w:tcPr>
          <w:p w14:paraId="30DEC8E9" w14:textId="77777777" w:rsidR="00F121CE" w:rsidRDefault="00F121CE" w:rsidP="002E3F3A">
            <w:pPr>
              <w:jc w:val="both"/>
            </w:pPr>
            <w:r>
              <w:t>Rent setting parameters</w:t>
            </w:r>
          </w:p>
        </w:tc>
      </w:tr>
      <w:tr w:rsidR="00F121CE" w14:paraId="37D552D4" w14:textId="77777777" w:rsidTr="002E3F3A">
        <w:tc>
          <w:tcPr>
            <w:tcW w:w="1565" w:type="dxa"/>
            <w:tcBorders>
              <w:top w:val="single" w:sz="4" w:space="0" w:color="000000"/>
              <w:left w:val="single" w:sz="4" w:space="0" w:color="000000"/>
              <w:bottom w:val="single" w:sz="4" w:space="0" w:color="000000"/>
              <w:right w:val="single" w:sz="4" w:space="0" w:color="000000"/>
            </w:tcBorders>
            <w:shd w:val="clear" w:color="FFFFFF" w:fill="FFFFFF"/>
          </w:tcPr>
          <w:p w14:paraId="1E8737E0" w14:textId="77777777" w:rsidR="00F121CE" w:rsidRDefault="00F121CE" w:rsidP="002E3F3A">
            <w:pPr>
              <w:pStyle w:val="Normal2"/>
            </w:pPr>
            <w:r>
              <w:t>Transitional Housing</w:t>
            </w:r>
          </w:p>
          <w:p w14:paraId="4477453F" w14:textId="77777777" w:rsidR="00F121CE" w:rsidRDefault="00F121CE" w:rsidP="002E3F3A">
            <w:pPr>
              <w:pStyle w:val="Normal2"/>
            </w:pPr>
          </w:p>
        </w:tc>
        <w:tc>
          <w:tcPr>
            <w:tcW w:w="2404" w:type="dxa"/>
            <w:tcBorders>
              <w:top w:val="single" w:sz="4" w:space="0" w:color="000000"/>
              <w:left w:val="single" w:sz="4" w:space="0" w:color="000000"/>
              <w:bottom w:val="single" w:sz="4" w:space="0" w:color="000000"/>
              <w:right w:val="single" w:sz="4" w:space="0" w:color="000000"/>
            </w:tcBorders>
            <w:shd w:val="clear" w:color="FFFFFF" w:fill="FFFFFF"/>
          </w:tcPr>
          <w:p w14:paraId="2EA8568F" w14:textId="77777777" w:rsidR="00F121CE" w:rsidRPr="000658FE" w:rsidRDefault="00F121CE" w:rsidP="002E3F3A">
            <w:pPr>
              <w:pStyle w:val="Normal2"/>
              <w:rPr>
                <w:sz w:val="18"/>
                <w:szCs w:val="18"/>
              </w:rPr>
            </w:pPr>
            <w:r w:rsidRPr="000658FE">
              <w:rPr>
                <w:sz w:val="18"/>
                <w:szCs w:val="18"/>
              </w:rPr>
              <w:t>Supported short term accommodation with access to support services</w:t>
            </w:r>
          </w:p>
        </w:tc>
        <w:tc>
          <w:tcPr>
            <w:tcW w:w="5077" w:type="dxa"/>
            <w:tcBorders>
              <w:top w:val="single" w:sz="4" w:space="0" w:color="000000"/>
              <w:left w:val="single" w:sz="4" w:space="0" w:color="000000"/>
              <w:bottom w:val="single" w:sz="4" w:space="0" w:color="000000"/>
              <w:right w:val="single" w:sz="4" w:space="0" w:color="000000"/>
            </w:tcBorders>
            <w:shd w:val="clear" w:color="FFFFFF" w:fill="FFFFFF"/>
          </w:tcPr>
          <w:p w14:paraId="0B0D692B" w14:textId="2DA359BF" w:rsidR="00F121CE" w:rsidRDefault="00F121CE" w:rsidP="00F121CE">
            <w:pPr>
              <w:pStyle w:val="Normal2"/>
              <w:numPr>
                <w:ilvl w:val="0"/>
                <w:numId w:val="40"/>
              </w:numPr>
            </w:pPr>
            <w:r>
              <w:t xml:space="preserve">25% of </w:t>
            </w:r>
            <w:r w:rsidR="0030455D">
              <w:t xml:space="preserve">gross </w:t>
            </w:r>
            <w:r>
              <w:t xml:space="preserve">assessable </w:t>
            </w:r>
            <w:r w:rsidR="0030455D">
              <w:t xml:space="preserve">household </w:t>
            </w:r>
            <w:r>
              <w:t xml:space="preserve">income </w:t>
            </w:r>
          </w:p>
          <w:p w14:paraId="1C885976" w14:textId="77777777" w:rsidR="00F121CE" w:rsidRDefault="00F121CE" w:rsidP="00F121CE">
            <w:pPr>
              <w:pStyle w:val="Normal2"/>
              <w:numPr>
                <w:ilvl w:val="0"/>
                <w:numId w:val="40"/>
              </w:numPr>
            </w:pPr>
            <w:r>
              <w:t xml:space="preserve">15% of family tax benefits </w:t>
            </w:r>
          </w:p>
          <w:p w14:paraId="35DCB83E" w14:textId="77777777" w:rsidR="00F121CE" w:rsidRDefault="00F121CE" w:rsidP="00F121CE">
            <w:pPr>
              <w:pStyle w:val="Normal2"/>
              <w:numPr>
                <w:ilvl w:val="0"/>
                <w:numId w:val="40"/>
              </w:numPr>
            </w:pPr>
            <w:r>
              <w:t>capped at HV determined property market rent</w:t>
            </w:r>
          </w:p>
          <w:p w14:paraId="6F94FB16" w14:textId="77777777" w:rsidR="00F121CE" w:rsidRDefault="00F121CE" w:rsidP="00F121CE">
            <w:pPr>
              <w:pStyle w:val="Normal2"/>
              <w:numPr>
                <w:ilvl w:val="0"/>
                <w:numId w:val="40"/>
              </w:numPr>
            </w:pPr>
            <w:r>
              <w:t>No Commonwealth Rent Assistance</w:t>
            </w:r>
          </w:p>
          <w:p w14:paraId="41716FA8" w14:textId="19CE5A00" w:rsidR="00F121CE" w:rsidRDefault="005552EA" w:rsidP="00F121CE">
            <w:pPr>
              <w:pStyle w:val="Normal2"/>
              <w:numPr>
                <w:ilvl w:val="0"/>
                <w:numId w:val="40"/>
              </w:numPr>
            </w:pPr>
            <w:r>
              <w:t>Property Costs or Service Charges may be added to the rent payable</w:t>
            </w:r>
          </w:p>
        </w:tc>
      </w:tr>
      <w:tr w:rsidR="00F121CE" w14:paraId="706768A1" w14:textId="77777777" w:rsidTr="002E3F3A">
        <w:tc>
          <w:tcPr>
            <w:tcW w:w="1565" w:type="dxa"/>
            <w:tcBorders>
              <w:top w:val="single" w:sz="4" w:space="0" w:color="000000"/>
              <w:left w:val="single" w:sz="4" w:space="0" w:color="000000"/>
              <w:bottom w:val="single" w:sz="4" w:space="0" w:color="000000"/>
              <w:right w:val="single" w:sz="4" w:space="0" w:color="000000"/>
            </w:tcBorders>
            <w:shd w:val="clear" w:color="FFFFFF" w:fill="FFFFFF"/>
          </w:tcPr>
          <w:p w14:paraId="0DD75DD8" w14:textId="77777777" w:rsidR="00F121CE" w:rsidRDefault="00F121CE" w:rsidP="002E3F3A">
            <w:pPr>
              <w:pStyle w:val="Normal2"/>
            </w:pPr>
            <w:r>
              <w:t>Homes Victoria (HV) owned and leased to WHL</w:t>
            </w:r>
          </w:p>
          <w:p w14:paraId="1A37DE3E" w14:textId="77777777" w:rsidR="00F121CE" w:rsidRDefault="00F121CE" w:rsidP="002E3F3A">
            <w:pPr>
              <w:pStyle w:val="Normal2"/>
            </w:pPr>
          </w:p>
        </w:tc>
        <w:tc>
          <w:tcPr>
            <w:tcW w:w="2404" w:type="dxa"/>
            <w:tcBorders>
              <w:top w:val="single" w:sz="4" w:space="0" w:color="000000"/>
              <w:left w:val="single" w:sz="4" w:space="0" w:color="000000"/>
              <w:bottom w:val="single" w:sz="4" w:space="0" w:color="000000"/>
              <w:right w:val="single" w:sz="4" w:space="0" w:color="000000"/>
            </w:tcBorders>
            <w:shd w:val="clear" w:color="FFFFFF" w:fill="FFFFFF"/>
          </w:tcPr>
          <w:p w14:paraId="6C55C1E5" w14:textId="77777777" w:rsidR="00F121CE" w:rsidRPr="000658FE" w:rsidRDefault="00F121CE" w:rsidP="002E3F3A">
            <w:pPr>
              <w:pStyle w:val="Normal2"/>
              <w:rPr>
                <w:sz w:val="18"/>
                <w:szCs w:val="18"/>
              </w:rPr>
            </w:pPr>
            <w:r w:rsidRPr="000658FE">
              <w:rPr>
                <w:sz w:val="18"/>
                <w:szCs w:val="18"/>
              </w:rPr>
              <w:t>Housing including rooming houses owned by the DoH and leased to WHL to provide and manage long term community housing under a General Lease</w:t>
            </w:r>
          </w:p>
        </w:tc>
        <w:tc>
          <w:tcPr>
            <w:tcW w:w="5077" w:type="dxa"/>
            <w:tcBorders>
              <w:top w:val="single" w:sz="4" w:space="0" w:color="000000"/>
              <w:left w:val="single" w:sz="4" w:space="0" w:color="000000"/>
              <w:bottom w:val="single" w:sz="4" w:space="0" w:color="000000"/>
              <w:right w:val="single" w:sz="4" w:space="0" w:color="000000"/>
            </w:tcBorders>
            <w:shd w:val="clear" w:color="FFFFFF" w:fill="FFFFFF"/>
          </w:tcPr>
          <w:p w14:paraId="5AE55B52" w14:textId="07548FAF" w:rsidR="00F121CE" w:rsidRDefault="00F121CE" w:rsidP="00F121CE">
            <w:pPr>
              <w:pStyle w:val="Normal2"/>
              <w:numPr>
                <w:ilvl w:val="0"/>
                <w:numId w:val="41"/>
              </w:numPr>
            </w:pPr>
            <w:r>
              <w:t xml:space="preserve">25% of </w:t>
            </w:r>
            <w:r w:rsidR="0030455D">
              <w:t xml:space="preserve">gross </w:t>
            </w:r>
            <w:r>
              <w:t xml:space="preserve">assessable </w:t>
            </w:r>
            <w:r w:rsidR="0030455D">
              <w:t xml:space="preserve">household </w:t>
            </w:r>
            <w:r>
              <w:t xml:space="preserve">income </w:t>
            </w:r>
          </w:p>
          <w:p w14:paraId="2BED5060" w14:textId="77777777" w:rsidR="00F121CE" w:rsidRDefault="00F121CE" w:rsidP="00F121CE">
            <w:pPr>
              <w:pStyle w:val="Normal2"/>
              <w:numPr>
                <w:ilvl w:val="0"/>
                <w:numId w:val="41"/>
              </w:numPr>
            </w:pPr>
            <w:r>
              <w:t xml:space="preserve">15% of family tax benefits </w:t>
            </w:r>
          </w:p>
          <w:p w14:paraId="4A3148D1" w14:textId="77777777" w:rsidR="00F121CE" w:rsidRDefault="00F121CE" w:rsidP="00F121CE">
            <w:pPr>
              <w:pStyle w:val="Normal2"/>
              <w:numPr>
                <w:ilvl w:val="0"/>
                <w:numId w:val="41"/>
              </w:numPr>
            </w:pPr>
            <w:r>
              <w:t>capped at HV determined property market rent</w:t>
            </w:r>
          </w:p>
          <w:p w14:paraId="5FC360E0" w14:textId="07C19E56" w:rsidR="00F121CE" w:rsidRDefault="00F121CE" w:rsidP="00F121CE">
            <w:pPr>
              <w:pStyle w:val="Normal2"/>
              <w:numPr>
                <w:ilvl w:val="0"/>
                <w:numId w:val="41"/>
              </w:numPr>
            </w:pPr>
            <w:r>
              <w:t xml:space="preserve">100% of </w:t>
            </w:r>
            <w:r w:rsidR="00C650EE">
              <w:t>eligible</w:t>
            </w:r>
            <w:r>
              <w:t xml:space="preserve"> Commonwealth Rent </w:t>
            </w:r>
            <w:r w:rsidR="00C650EE">
              <w:t>Assistance</w:t>
            </w:r>
            <w:r>
              <w:t xml:space="preserve"> </w:t>
            </w:r>
          </w:p>
          <w:p w14:paraId="6568613E" w14:textId="343ADEE1" w:rsidR="00F121CE" w:rsidRDefault="00AA6532" w:rsidP="00F121CE">
            <w:pPr>
              <w:pStyle w:val="Normal2"/>
              <w:numPr>
                <w:ilvl w:val="0"/>
                <w:numId w:val="41"/>
              </w:numPr>
            </w:pPr>
            <w:r>
              <w:t xml:space="preserve">Property </w:t>
            </w:r>
            <w:r w:rsidR="0077451A">
              <w:t>Costs</w:t>
            </w:r>
            <w:r>
              <w:t xml:space="preserve"> or </w:t>
            </w:r>
            <w:r w:rsidR="00F121CE">
              <w:t>Service Charges may be added to the rent payable</w:t>
            </w:r>
          </w:p>
        </w:tc>
      </w:tr>
      <w:tr w:rsidR="00F121CE" w14:paraId="37C0379F" w14:textId="77777777" w:rsidTr="002E3F3A">
        <w:tc>
          <w:tcPr>
            <w:tcW w:w="1565" w:type="dxa"/>
            <w:tcBorders>
              <w:top w:val="single" w:sz="4" w:space="0" w:color="000000"/>
              <w:left w:val="single" w:sz="4" w:space="0" w:color="000000"/>
              <w:bottom w:val="single" w:sz="4" w:space="0" w:color="000000"/>
              <w:right w:val="single" w:sz="4" w:space="0" w:color="000000"/>
            </w:tcBorders>
            <w:shd w:val="clear" w:color="FFFFFF" w:fill="FFFFFF"/>
          </w:tcPr>
          <w:p w14:paraId="4A25D1E9" w14:textId="77777777" w:rsidR="00F121CE" w:rsidRDefault="00F121CE" w:rsidP="002E3F3A">
            <w:pPr>
              <w:pStyle w:val="Normal2"/>
            </w:pPr>
            <w:r>
              <w:t>WHL owned Community Housing</w:t>
            </w:r>
          </w:p>
          <w:p w14:paraId="27F2C75D" w14:textId="77777777" w:rsidR="00F121CE" w:rsidRDefault="00F121CE" w:rsidP="002E3F3A">
            <w:pPr>
              <w:pStyle w:val="Normal2"/>
            </w:pPr>
          </w:p>
        </w:tc>
        <w:tc>
          <w:tcPr>
            <w:tcW w:w="2404" w:type="dxa"/>
            <w:tcBorders>
              <w:top w:val="single" w:sz="4" w:space="0" w:color="000000"/>
              <w:left w:val="single" w:sz="4" w:space="0" w:color="000000"/>
              <w:bottom w:val="single" w:sz="4" w:space="0" w:color="000000"/>
              <w:right w:val="single" w:sz="4" w:space="0" w:color="000000"/>
            </w:tcBorders>
            <w:shd w:val="clear" w:color="FFFFFF" w:fill="FFFFFF"/>
          </w:tcPr>
          <w:p w14:paraId="27D70DF5" w14:textId="77777777" w:rsidR="00F121CE" w:rsidRPr="000658FE" w:rsidRDefault="00F121CE" w:rsidP="002E3F3A">
            <w:pPr>
              <w:pStyle w:val="Normal2"/>
              <w:rPr>
                <w:sz w:val="18"/>
                <w:szCs w:val="18"/>
              </w:rPr>
            </w:pPr>
            <w:r w:rsidRPr="000658FE">
              <w:rPr>
                <w:sz w:val="18"/>
                <w:szCs w:val="18"/>
              </w:rPr>
              <w:t>Long-term Housing owned by WHL and either purchased with financial assistance from DoH or transferred to WHL</w:t>
            </w:r>
          </w:p>
        </w:tc>
        <w:tc>
          <w:tcPr>
            <w:tcW w:w="5077" w:type="dxa"/>
            <w:tcBorders>
              <w:top w:val="single" w:sz="4" w:space="0" w:color="000000"/>
              <w:left w:val="single" w:sz="4" w:space="0" w:color="000000"/>
              <w:bottom w:val="single" w:sz="4" w:space="0" w:color="000000"/>
              <w:right w:val="single" w:sz="4" w:space="0" w:color="000000"/>
            </w:tcBorders>
            <w:shd w:val="clear" w:color="FFFFFF" w:fill="FFFFFF"/>
          </w:tcPr>
          <w:p w14:paraId="14D30E3C" w14:textId="76E98B35" w:rsidR="00F121CE" w:rsidRDefault="00F121CE" w:rsidP="00F121CE">
            <w:pPr>
              <w:pStyle w:val="Normal2"/>
              <w:numPr>
                <w:ilvl w:val="0"/>
                <w:numId w:val="41"/>
              </w:numPr>
            </w:pPr>
            <w:r>
              <w:t xml:space="preserve">29% of </w:t>
            </w:r>
            <w:r w:rsidR="0030455D">
              <w:t>gross assessable household income</w:t>
            </w:r>
          </w:p>
          <w:p w14:paraId="7FD5C0AD" w14:textId="77777777" w:rsidR="00F121CE" w:rsidRDefault="00F121CE" w:rsidP="00F121CE">
            <w:pPr>
              <w:pStyle w:val="Normal2"/>
              <w:numPr>
                <w:ilvl w:val="0"/>
                <w:numId w:val="41"/>
              </w:numPr>
            </w:pPr>
            <w:r>
              <w:t>15% of family tax benefits</w:t>
            </w:r>
          </w:p>
          <w:p w14:paraId="464DB3DA" w14:textId="77777777" w:rsidR="00F121CE" w:rsidRDefault="00F121CE" w:rsidP="00F121CE">
            <w:pPr>
              <w:pStyle w:val="Normal2"/>
              <w:numPr>
                <w:ilvl w:val="0"/>
                <w:numId w:val="41"/>
              </w:numPr>
            </w:pPr>
            <w:r>
              <w:t>capped at &lt; 75% of the Market Rent</w:t>
            </w:r>
          </w:p>
          <w:p w14:paraId="2DF979C1" w14:textId="77777777" w:rsidR="00F121CE" w:rsidRDefault="00F121CE" w:rsidP="00F121CE">
            <w:pPr>
              <w:pStyle w:val="Normal2"/>
              <w:numPr>
                <w:ilvl w:val="0"/>
                <w:numId w:val="41"/>
              </w:numPr>
            </w:pPr>
            <w:r>
              <w:t xml:space="preserve">100% of eligible Commonwealth Rent </w:t>
            </w:r>
            <w:r>
              <w:lastRenderedPageBreak/>
              <w:t>Assistance</w:t>
            </w:r>
          </w:p>
          <w:p w14:paraId="56C0A67F" w14:textId="56C2B79C" w:rsidR="00F121CE" w:rsidRDefault="005552EA" w:rsidP="00F121CE">
            <w:pPr>
              <w:pStyle w:val="Normal2"/>
              <w:numPr>
                <w:ilvl w:val="0"/>
                <w:numId w:val="41"/>
              </w:numPr>
            </w:pPr>
            <w:r>
              <w:t>Property Costs or Service Charges may be added to the rent payable</w:t>
            </w:r>
          </w:p>
        </w:tc>
      </w:tr>
      <w:tr w:rsidR="00F121CE" w14:paraId="2AC12912" w14:textId="77777777" w:rsidTr="002E3F3A">
        <w:tc>
          <w:tcPr>
            <w:tcW w:w="1565" w:type="dxa"/>
            <w:tcBorders>
              <w:top w:val="single" w:sz="4" w:space="0" w:color="000000"/>
              <w:left w:val="single" w:sz="4" w:space="0" w:color="000000"/>
              <w:bottom w:val="single" w:sz="4" w:space="0" w:color="000000"/>
              <w:right w:val="single" w:sz="4" w:space="0" w:color="000000"/>
            </w:tcBorders>
            <w:shd w:val="clear" w:color="FFFFFF" w:fill="FFFFFF"/>
          </w:tcPr>
          <w:p w14:paraId="64228E4D" w14:textId="77777777" w:rsidR="00F121CE" w:rsidRDefault="00F121CE" w:rsidP="002E3F3A">
            <w:pPr>
              <w:pStyle w:val="Normal2"/>
            </w:pPr>
            <w:r>
              <w:lastRenderedPageBreak/>
              <w:t>Affordable Housing</w:t>
            </w:r>
          </w:p>
        </w:tc>
        <w:tc>
          <w:tcPr>
            <w:tcW w:w="2404" w:type="dxa"/>
            <w:tcBorders>
              <w:top w:val="single" w:sz="4" w:space="0" w:color="000000"/>
              <w:left w:val="single" w:sz="4" w:space="0" w:color="000000"/>
              <w:bottom w:val="single" w:sz="4" w:space="0" w:color="000000"/>
              <w:right w:val="single" w:sz="4" w:space="0" w:color="000000"/>
            </w:tcBorders>
            <w:shd w:val="clear" w:color="FFFFFF" w:fill="FFFFFF"/>
          </w:tcPr>
          <w:p w14:paraId="1CB9FB03" w14:textId="77777777" w:rsidR="00F121CE" w:rsidRPr="003618C9" w:rsidRDefault="00F121CE" w:rsidP="002E3F3A">
            <w:pPr>
              <w:pStyle w:val="Normal2"/>
              <w:rPr>
                <w:sz w:val="18"/>
                <w:szCs w:val="18"/>
              </w:rPr>
            </w:pPr>
            <w:r>
              <w:rPr>
                <w:sz w:val="18"/>
                <w:szCs w:val="18"/>
              </w:rPr>
              <w:t>Long term housing for people on more moderate incomes, not eligible for public housing.</w:t>
            </w:r>
          </w:p>
        </w:tc>
        <w:tc>
          <w:tcPr>
            <w:tcW w:w="5077" w:type="dxa"/>
            <w:tcBorders>
              <w:top w:val="single" w:sz="4" w:space="0" w:color="000000"/>
              <w:left w:val="single" w:sz="4" w:space="0" w:color="000000"/>
              <w:bottom w:val="single" w:sz="4" w:space="0" w:color="000000"/>
              <w:right w:val="single" w:sz="4" w:space="0" w:color="000000"/>
            </w:tcBorders>
            <w:shd w:val="clear" w:color="FFFFFF" w:fill="FFFFFF"/>
          </w:tcPr>
          <w:p w14:paraId="25DF702B" w14:textId="77777777" w:rsidR="00F121CE" w:rsidRDefault="00F121CE" w:rsidP="00F121CE">
            <w:pPr>
              <w:pStyle w:val="Normal2"/>
              <w:numPr>
                <w:ilvl w:val="0"/>
                <w:numId w:val="41"/>
              </w:numPr>
            </w:pPr>
            <w:r>
              <w:t>&lt; 75% of Market Rent</w:t>
            </w:r>
          </w:p>
          <w:p w14:paraId="07DEDF71" w14:textId="73290B93" w:rsidR="00F121CE" w:rsidRDefault="00F121CE" w:rsidP="00F121CE">
            <w:pPr>
              <w:pStyle w:val="Normal2"/>
              <w:numPr>
                <w:ilvl w:val="0"/>
                <w:numId w:val="41"/>
              </w:numPr>
            </w:pPr>
            <w:r>
              <w:t xml:space="preserve">≤ 30% of gross </w:t>
            </w:r>
            <w:r w:rsidR="0030455D">
              <w:t xml:space="preserve">assessable </w:t>
            </w:r>
            <w:r>
              <w:t>household income used to determine affordability.</w:t>
            </w:r>
          </w:p>
          <w:p w14:paraId="0C2E9FE9" w14:textId="77777777" w:rsidR="00F121CE" w:rsidRDefault="00F121CE" w:rsidP="00F121CE">
            <w:pPr>
              <w:pStyle w:val="Normal2"/>
              <w:numPr>
                <w:ilvl w:val="0"/>
                <w:numId w:val="41"/>
              </w:numPr>
            </w:pPr>
            <w:r>
              <w:t>100% of eligible Commonwealth Rent Assistance</w:t>
            </w:r>
          </w:p>
          <w:p w14:paraId="73B96769" w14:textId="2D383038" w:rsidR="00F121CE" w:rsidRDefault="005552EA" w:rsidP="00F121CE">
            <w:pPr>
              <w:pStyle w:val="Normal2"/>
              <w:numPr>
                <w:ilvl w:val="0"/>
                <w:numId w:val="41"/>
              </w:numPr>
            </w:pPr>
            <w:r>
              <w:t>Property Costs or Service Charges may be added to the rent payable</w:t>
            </w:r>
          </w:p>
        </w:tc>
      </w:tr>
    </w:tbl>
    <w:p w14:paraId="4F51702E" w14:textId="77777777" w:rsidR="00F121CE" w:rsidRDefault="00F121CE" w:rsidP="00F121CE"/>
    <w:p w14:paraId="5A829C2C" w14:textId="6FD16350" w:rsidR="00F121CE" w:rsidRDefault="00F121CE" w:rsidP="00F121CE">
      <w:pPr>
        <w:pStyle w:val="Heading2"/>
      </w:pPr>
      <w:r>
        <w:t>Commonwealth Rent Assistance (CRA)</w:t>
      </w:r>
    </w:p>
    <w:p w14:paraId="4C4FD61C" w14:textId="77777777" w:rsidR="007F64B2" w:rsidRPr="000658FE" w:rsidRDefault="007F64B2" w:rsidP="007F64B2">
      <w:pPr>
        <w:rPr>
          <w:lang w:val="en-AU"/>
        </w:rPr>
      </w:pPr>
      <w:r w:rsidRPr="000658FE">
        <w:rPr>
          <w:lang w:val="en-US"/>
        </w:rPr>
        <w:t>Rent Assistance is a regular entitlement paid to people who get certain payments from Services Australia.</w:t>
      </w:r>
    </w:p>
    <w:p w14:paraId="65E8C8A7" w14:textId="77777777" w:rsidR="007126DB" w:rsidRDefault="007126DB" w:rsidP="007F64B2">
      <w:pPr>
        <w:rPr>
          <w:lang w:val="en-US"/>
        </w:rPr>
      </w:pPr>
    </w:p>
    <w:p w14:paraId="2DD5BEB3" w14:textId="4DDE5828" w:rsidR="007F64B2" w:rsidRPr="000658FE" w:rsidRDefault="007F64B2" w:rsidP="007F64B2">
      <w:pPr>
        <w:rPr>
          <w:lang w:val="en-US"/>
        </w:rPr>
      </w:pPr>
      <w:r>
        <w:rPr>
          <w:lang w:val="en-US"/>
        </w:rPr>
        <w:t>Rent calculators used by WHL must maximise the available CRA.</w:t>
      </w:r>
    </w:p>
    <w:p w14:paraId="2F02AFBA" w14:textId="77777777" w:rsidR="007126DB" w:rsidRDefault="007126DB" w:rsidP="007F64B2"/>
    <w:p w14:paraId="7C019A49" w14:textId="2E668B81" w:rsidR="007F64B2" w:rsidRDefault="007F64B2" w:rsidP="007F64B2">
      <w:r>
        <w:t>WHL will determine the eligibility and the amount of CRA for each applicant. The CRA is included in the rent payable for the renter. WHL will advise renters about how to access their CRA entitlements.</w:t>
      </w:r>
    </w:p>
    <w:p w14:paraId="77E5FE3F" w14:textId="77777777" w:rsidR="007126DB" w:rsidRDefault="007126DB" w:rsidP="007F64B2"/>
    <w:p w14:paraId="6488EABD" w14:textId="151C4093" w:rsidR="007F64B2" w:rsidRDefault="007F64B2" w:rsidP="007F64B2">
      <w:r>
        <w:t>It is the responsibility of the renter to claim their CRA entitlement.</w:t>
      </w:r>
    </w:p>
    <w:p w14:paraId="65D2367C" w14:textId="77777777" w:rsidR="00F121CE" w:rsidRDefault="00F121CE" w:rsidP="00F121CE"/>
    <w:p w14:paraId="5D805E93" w14:textId="408D9D95" w:rsidR="007F64B2" w:rsidRDefault="007F64B2" w:rsidP="007F64B2">
      <w:pPr>
        <w:pStyle w:val="Heading2"/>
      </w:pPr>
      <w:r>
        <w:t>Bonds</w:t>
      </w:r>
    </w:p>
    <w:p w14:paraId="5432297B" w14:textId="77777777" w:rsidR="007126DB" w:rsidRDefault="004A5570" w:rsidP="004A5570">
      <w:pPr>
        <w:pStyle w:val="Normal2"/>
      </w:pPr>
      <w:r>
        <w:t>WHL does not require a bond for its transitional properties.  A bond is required for all Community Housing and General Lease / Managed Service Agreement properties.  WHL must be in receipt of the bond prior to renters signing a residential rental agreement.  A prospective renter will be allowed 5 days to source a bond.  Failure to do so may result in the forfeit of the housing offer.</w:t>
      </w:r>
    </w:p>
    <w:p w14:paraId="2AD1ADFB" w14:textId="542CC298" w:rsidR="004A5570" w:rsidRPr="007126DB" w:rsidRDefault="004A5570" w:rsidP="007126DB">
      <w:pPr>
        <w:pStyle w:val="Normal2"/>
      </w:pPr>
      <w:r>
        <w:t xml:space="preserve">WHL will manage Bonds in accordance with the Residential Tenancies Bond Authority (RTBA).  </w:t>
      </w:r>
    </w:p>
    <w:p w14:paraId="0C5C5551" w14:textId="77777777" w:rsidR="007F64B2" w:rsidRDefault="007F64B2" w:rsidP="007F64B2"/>
    <w:p w14:paraId="630B5FEE" w14:textId="3527939E" w:rsidR="004A5570" w:rsidRDefault="004A5570" w:rsidP="004A5570">
      <w:pPr>
        <w:pStyle w:val="Heading2"/>
      </w:pPr>
      <w:r>
        <w:t>Rebated rent</w:t>
      </w:r>
    </w:p>
    <w:p w14:paraId="3C64E9B2" w14:textId="77777777" w:rsidR="007126DB" w:rsidRPr="00C60B9B" w:rsidRDefault="00083949" w:rsidP="00C60B9B">
      <w:pPr>
        <w:pStyle w:val="Normal2"/>
      </w:pPr>
      <w:r w:rsidRPr="00C60B9B">
        <w:t>A rental rebate is defined under s3 of the RTA.</w:t>
      </w:r>
    </w:p>
    <w:p w14:paraId="62BAC7B9" w14:textId="50FFF1C1" w:rsidR="00083949" w:rsidRPr="00C60B9B" w:rsidRDefault="00083949" w:rsidP="00C60B9B">
      <w:pPr>
        <w:pStyle w:val="Normal2"/>
      </w:pPr>
      <w:r w:rsidRPr="00C60B9B">
        <w:t xml:space="preserve">The ‘rebate’ is the difference between the rent payable and the Discounted Market Rent (or DFFH Property Market Rent for General Lease properties) listed in the rental agreement. </w:t>
      </w:r>
    </w:p>
    <w:p w14:paraId="328CF7F9" w14:textId="089CF667" w:rsidR="00083949" w:rsidRPr="00C60B9B" w:rsidRDefault="00083949" w:rsidP="00C60B9B">
      <w:pPr>
        <w:pStyle w:val="Normal2"/>
      </w:pPr>
      <w:r w:rsidRPr="00C60B9B">
        <w:t xml:space="preserve">A rebated rent is an </w:t>
      </w:r>
      <w:r w:rsidR="00C60B9B" w:rsidRPr="00C60B9B">
        <w:t>income-based</w:t>
      </w:r>
      <w:r w:rsidRPr="00C60B9B">
        <w:t xml:space="preserve"> rent, usually determined by the following formula:</w:t>
      </w:r>
    </w:p>
    <w:p w14:paraId="6511D748" w14:textId="3E2CCDF4" w:rsidR="00083949" w:rsidRPr="00C60B9B" w:rsidRDefault="00083949" w:rsidP="00C60B9B">
      <w:pPr>
        <w:pStyle w:val="Normal2"/>
      </w:pPr>
      <w:r w:rsidRPr="00C60B9B">
        <w:t xml:space="preserve">25% or 29% of </w:t>
      </w:r>
      <w:r w:rsidR="0030455D">
        <w:t xml:space="preserve">gross assessable </w:t>
      </w:r>
      <w:r w:rsidRPr="00C60B9B">
        <w:t xml:space="preserve">income + 15% of Family Tax </w:t>
      </w:r>
      <w:r w:rsidR="00C60B9B" w:rsidRPr="00C60B9B">
        <w:t>Benefits</w:t>
      </w:r>
      <w:r w:rsidRPr="00C60B9B">
        <w:t xml:space="preserve"> A&amp;B, + 100% of the eligible Commonwealth Rent Assistance and less than 75% of the Market rent.</w:t>
      </w:r>
    </w:p>
    <w:p w14:paraId="787CDE76" w14:textId="701F36ED" w:rsidR="00083949" w:rsidRPr="00C60B9B" w:rsidRDefault="00083949" w:rsidP="00C60B9B">
      <w:pPr>
        <w:pStyle w:val="Normal2"/>
      </w:pPr>
      <w:r w:rsidRPr="00C60B9B">
        <w:t>The rebated rent can be adjusted within the 12-month period provided it does not exceed the discounted market rent set out on the rental agreement, nor on the most recently served 60-day notice of a discounted market rent increase.</w:t>
      </w:r>
    </w:p>
    <w:p w14:paraId="0160A9F8" w14:textId="77777777" w:rsidR="004A5570" w:rsidRDefault="004A5570" w:rsidP="004A5570"/>
    <w:p w14:paraId="53D3B48E" w14:textId="00874478" w:rsidR="00083949" w:rsidRDefault="00083949" w:rsidP="00083949">
      <w:pPr>
        <w:pStyle w:val="Heading2"/>
      </w:pPr>
      <w:r>
        <w:lastRenderedPageBreak/>
        <w:t>Service charges</w:t>
      </w:r>
    </w:p>
    <w:p w14:paraId="56949B99" w14:textId="77777777" w:rsidR="00E534FE" w:rsidRPr="0086184B" w:rsidRDefault="00E534FE" w:rsidP="00E534FE">
      <w:pPr>
        <w:rPr>
          <w:rFonts w:eastAsia="Calibri"/>
          <w:lang w:val="en-AU"/>
        </w:rPr>
      </w:pPr>
      <w:r>
        <w:rPr>
          <w:rFonts w:eastAsia="Calibri"/>
          <w:lang w:val="en-US"/>
        </w:rPr>
        <w:t>Some WHL</w:t>
      </w:r>
      <w:r w:rsidRPr="0086184B">
        <w:rPr>
          <w:rFonts w:eastAsia="Calibri"/>
          <w:lang w:val="en-US"/>
        </w:rPr>
        <w:t xml:space="preserve"> propert</w:t>
      </w:r>
      <w:r>
        <w:rPr>
          <w:rFonts w:eastAsia="Calibri"/>
          <w:lang w:val="en-US"/>
        </w:rPr>
        <w:t>ies</w:t>
      </w:r>
      <w:r w:rsidRPr="0086184B">
        <w:rPr>
          <w:rFonts w:eastAsia="Calibri"/>
          <w:lang w:val="en-US"/>
        </w:rPr>
        <w:t xml:space="preserve"> provide facilities and utilities to the renter that are not separately metered. </w:t>
      </w:r>
    </w:p>
    <w:p w14:paraId="1E2213CD" w14:textId="77777777" w:rsidR="00E534FE" w:rsidRPr="000E36A5" w:rsidRDefault="00E534FE" w:rsidP="00E534FE">
      <w:pPr>
        <w:pStyle w:val="Normal2"/>
        <w:rPr>
          <w:rFonts w:eastAsia="Calibri"/>
          <w:lang w:val="en-US"/>
        </w:rPr>
      </w:pPr>
      <w:r w:rsidRPr="000E36A5">
        <w:rPr>
          <w:rFonts w:eastAsia="Calibri"/>
          <w:lang w:val="en-US"/>
        </w:rPr>
        <w:t xml:space="preserve">Examples of these additional services include: </w:t>
      </w:r>
    </w:p>
    <w:p w14:paraId="1C5E636F" w14:textId="77777777" w:rsidR="00E534FE" w:rsidRPr="000E36A5" w:rsidRDefault="00E534FE" w:rsidP="00E534FE">
      <w:pPr>
        <w:pStyle w:val="Bulleted"/>
        <w:numPr>
          <w:ilvl w:val="0"/>
          <w:numId w:val="39"/>
        </w:numPr>
        <w:tabs>
          <w:tab w:val="left" w:pos="0"/>
        </w:tabs>
        <w:ind w:hanging="720"/>
        <w:rPr>
          <w:rFonts w:eastAsia="Calibri"/>
          <w:lang w:val="en-US"/>
        </w:rPr>
      </w:pPr>
      <w:r w:rsidRPr="000E36A5">
        <w:rPr>
          <w:rFonts w:eastAsia="Calibri"/>
          <w:lang w:val="en-US"/>
        </w:rPr>
        <w:t>electricity</w:t>
      </w:r>
    </w:p>
    <w:p w14:paraId="6C19697F" w14:textId="77777777" w:rsidR="00E534FE" w:rsidRPr="000E36A5" w:rsidRDefault="00E534FE" w:rsidP="00E534FE">
      <w:pPr>
        <w:pStyle w:val="Bulleted"/>
        <w:numPr>
          <w:ilvl w:val="0"/>
          <w:numId w:val="39"/>
        </w:numPr>
        <w:tabs>
          <w:tab w:val="left" w:pos="0"/>
        </w:tabs>
        <w:ind w:hanging="720"/>
        <w:rPr>
          <w:rFonts w:eastAsia="Calibri"/>
          <w:lang w:val="en-US"/>
        </w:rPr>
      </w:pPr>
      <w:r w:rsidRPr="000E36A5">
        <w:rPr>
          <w:rFonts w:eastAsia="Calibri"/>
          <w:lang w:val="en-US"/>
        </w:rPr>
        <w:t>gas</w:t>
      </w:r>
    </w:p>
    <w:p w14:paraId="25F1149D" w14:textId="77777777" w:rsidR="00E534FE" w:rsidRPr="000E36A5" w:rsidRDefault="00E534FE" w:rsidP="00E534FE">
      <w:pPr>
        <w:pStyle w:val="Bulleted"/>
        <w:numPr>
          <w:ilvl w:val="0"/>
          <w:numId w:val="39"/>
        </w:numPr>
        <w:tabs>
          <w:tab w:val="left" w:pos="0"/>
        </w:tabs>
        <w:ind w:hanging="720"/>
        <w:rPr>
          <w:rFonts w:eastAsia="Calibri"/>
          <w:lang w:val="en-US"/>
        </w:rPr>
      </w:pPr>
      <w:r w:rsidRPr="000E36A5">
        <w:rPr>
          <w:rFonts w:eastAsia="Calibri"/>
          <w:lang w:val="en-US"/>
        </w:rPr>
        <w:t>water</w:t>
      </w:r>
    </w:p>
    <w:p w14:paraId="2CB09F08" w14:textId="77777777" w:rsidR="00E534FE" w:rsidRPr="000E36A5" w:rsidRDefault="00E534FE" w:rsidP="00E534FE">
      <w:pPr>
        <w:pStyle w:val="Bulleted"/>
        <w:numPr>
          <w:ilvl w:val="0"/>
          <w:numId w:val="39"/>
        </w:numPr>
        <w:tabs>
          <w:tab w:val="left" w:pos="0"/>
        </w:tabs>
        <w:ind w:hanging="720"/>
        <w:rPr>
          <w:rFonts w:eastAsia="Calibri"/>
          <w:lang w:val="en-US"/>
        </w:rPr>
      </w:pPr>
      <w:r w:rsidRPr="000E36A5">
        <w:rPr>
          <w:rFonts w:eastAsia="Calibri"/>
          <w:lang w:val="en-US"/>
        </w:rPr>
        <w:t>central heating</w:t>
      </w:r>
    </w:p>
    <w:p w14:paraId="0ED1C123" w14:textId="77777777" w:rsidR="00E534FE" w:rsidRPr="000E36A5" w:rsidRDefault="00E534FE" w:rsidP="00E534FE">
      <w:pPr>
        <w:pStyle w:val="Bulleted"/>
        <w:numPr>
          <w:ilvl w:val="0"/>
          <w:numId w:val="39"/>
        </w:numPr>
        <w:tabs>
          <w:tab w:val="left" w:pos="0"/>
        </w:tabs>
        <w:ind w:hanging="720"/>
        <w:rPr>
          <w:rFonts w:eastAsia="Calibri"/>
          <w:lang w:val="en-US"/>
        </w:rPr>
      </w:pPr>
      <w:r w:rsidRPr="000E36A5">
        <w:rPr>
          <w:rFonts w:eastAsia="Calibri"/>
          <w:lang w:val="en-US"/>
        </w:rPr>
        <w:t>laundry</w:t>
      </w:r>
    </w:p>
    <w:p w14:paraId="1FEB1D48" w14:textId="4E190E56" w:rsidR="00E534FE" w:rsidRPr="003C73FA" w:rsidRDefault="00E534FE" w:rsidP="00E534FE">
      <w:pPr>
        <w:pStyle w:val="Bulleted"/>
        <w:numPr>
          <w:ilvl w:val="0"/>
          <w:numId w:val="39"/>
        </w:numPr>
        <w:tabs>
          <w:tab w:val="left" w:pos="0"/>
        </w:tabs>
        <w:ind w:hanging="720"/>
        <w:rPr>
          <w:rFonts w:eastAsia="Calibri"/>
          <w:lang w:val="en-US"/>
        </w:rPr>
      </w:pPr>
      <w:r w:rsidRPr="000E36A5">
        <w:rPr>
          <w:rFonts w:eastAsia="Calibri"/>
          <w:lang w:val="en-US"/>
        </w:rPr>
        <w:t xml:space="preserve">other services or facilities made available to the resident or </w:t>
      </w:r>
      <w:r>
        <w:rPr>
          <w:rFonts w:eastAsia="Calibri"/>
          <w:lang w:val="en-US"/>
        </w:rPr>
        <w:t>renter, such as the c</w:t>
      </w:r>
      <w:r w:rsidRPr="003C73FA">
        <w:rPr>
          <w:rFonts w:eastAsia="Calibri"/>
          <w:lang w:val="en-US"/>
        </w:rPr>
        <w:t>osts associated with maintaining common areas</w:t>
      </w:r>
      <w:r>
        <w:rPr>
          <w:rFonts w:eastAsia="Calibri"/>
          <w:lang w:val="en-US"/>
        </w:rPr>
        <w:t xml:space="preserve">, </w:t>
      </w:r>
      <w:r w:rsidR="00C60B9B" w:rsidRPr="003C73FA">
        <w:rPr>
          <w:rFonts w:eastAsia="Calibri"/>
          <w:lang w:val="en-US"/>
        </w:rPr>
        <w:t>cleaning,</w:t>
      </w:r>
      <w:r w:rsidRPr="003C73FA">
        <w:rPr>
          <w:rFonts w:eastAsia="Calibri"/>
          <w:lang w:val="en-US"/>
        </w:rPr>
        <w:t xml:space="preserve"> and gardening.</w:t>
      </w:r>
    </w:p>
    <w:p w14:paraId="19CF0429" w14:textId="063B6FF9" w:rsidR="00E534FE" w:rsidRDefault="00E534FE" w:rsidP="00C60B9B">
      <w:pPr>
        <w:pStyle w:val="Normal2"/>
      </w:pPr>
      <w:bookmarkStart w:id="2" w:name="_Hlk24120117"/>
      <w:bookmarkStart w:id="3" w:name="_Hlk71636928"/>
      <w:r>
        <w:t xml:space="preserve">In these circumstances WHL </w:t>
      </w:r>
      <w:bookmarkEnd w:id="2"/>
      <w:r w:rsidRPr="000E36A5">
        <w:t xml:space="preserve">will </w:t>
      </w:r>
      <w:r>
        <w:t>levy</w:t>
      </w:r>
      <w:r w:rsidRPr="000E36A5">
        <w:t xml:space="preserve"> a service charge separately from the rent </w:t>
      </w:r>
      <w:r>
        <w:t>and the charge</w:t>
      </w:r>
      <w:r w:rsidRPr="000E36A5">
        <w:t xml:space="preserve"> may be varied from time to time. This </w:t>
      </w:r>
      <w:r>
        <w:t xml:space="preserve">charge </w:t>
      </w:r>
      <w:r w:rsidRPr="000E36A5">
        <w:t xml:space="preserve">will reflect the actual costs to </w:t>
      </w:r>
      <w:r>
        <w:t xml:space="preserve">WHL </w:t>
      </w:r>
      <w:r w:rsidRPr="000E36A5">
        <w:t xml:space="preserve">of providing these facilities and utilities. </w:t>
      </w:r>
      <w:r>
        <w:t xml:space="preserve">A service charge is added to the rent payable, and the rent payable plus the service charge can exceed the discounted market rent or DFFH rent cap. </w:t>
      </w:r>
      <w:r w:rsidRPr="000E36A5">
        <w:t>The total of rent and service charges will not be greater than the rent</w:t>
      </w:r>
      <w:r>
        <w:t>,</w:t>
      </w:r>
      <w:r w:rsidRPr="000E36A5">
        <w:t xml:space="preserve"> </w:t>
      </w:r>
      <w:r>
        <w:t xml:space="preserve">inclusive of service charges </w:t>
      </w:r>
      <w:r w:rsidRPr="000E36A5">
        <w:t>for a similar room or apartment in a similar building in a similar location in the private rental market that provides the same facilities and utilities.</w:t>
      </w:r>
    </w:p>
    <w:bookmarkEnd w:id="3"/>
    <w:p w14:paraId="084C678F" w14:textId="77777777" w:rsidR="00083949" w:rsidRDefault="00083949" w:rsidP="00083949"/>
    <w:p w14:paraId="0A87D730" w14:textId="10C43D33" w:rsidR="00E534FE" w:rsidRDefault="00E534FE" w:rsidP="00E534FE">
      <w:pPr>
        <w:pStyle w:val="Heading2"/>
      </w:pPr>
      <w:r>
        <w:t>Rent reviews</w:t>
      </w:r>
    </w:p>
    <w:p w14:paraId="3E2A209D" w14:textId="77777777" w:rsidR="004709BF" w:rsidRPr="00C60B9B" w:rsidRDefault="004709BF" w:rsidP="004709BF">
      <w:pPr>
        <w:pStyle w:val="Normal2"/>
      </w:pPr>
      <w:r>
        <w:t xml:space="preserve">WHL will conduct annual reviews of the market rent of each property. Market Rent Valuations will be in line with </w:t>
      </w:r>
      <w:r w:rsidRPr="00C60B9B">
        <w:t xml:space="preserve">the ATO Market Value Guidelines. </w:t>
      </w:r>
    </w:p>
    <w:p w14:paraId="7131F508" w14:textId="77777777" w:rsidR="004709BF" w:rsidRPr="00C60B9B" w:rsidRDefault="004709BF" w:rsidP="004709BF">
      <w:pPr>
        <w:pStyle w:val="Normal2"/>
      </w:pPr>
      <w:r w:rsidRPr="00C60B9B">
        <w:t xml:space="preserve">WHL will adjust the rebated rent for social housing as household income changes. </w:t>
      </w:r>
      <w:r>
        <w:t>Renters will be required to provide up-to date evidence of income for the purpose of these reviews.</w:t>
      </w:r>
    </w:p>
    <w:p w14:paraId="2492377B" w14:textId="77777777" w:rsidR="004709BF" w:rsidRDefault="004709BF" w:rsidP="004709BF">
      <w:pPr>
        <w:pStyle w:val="Normal2"/>
      </w:pPr>
      <w:r>
        <w:t>WHL will explain the process of rent reviews to renters.</w:t>
      </w:r>
    </w:p>
    <w:p w14:paraId="18674207" w14:textId="77777777" w:rsidR="004709BF" w:rsidRDefault="004709BF" w:rsidP="004709BF">
      <w:pPr>
        <w:pStyle w:val="Normal2"/>
      </w:pPr>
      <w:r>
        <w:t>WHL will make the distinction between Market Rent and Rebated rent clear to renters and explain how they are applied.</w:t>
      </w:r>
    </w:p>
    <w:p w14:paraId="4C5CBFF0" w14:textId="77777777" w:rsidR="004709BF" w:rsidRDefault="004709BF" w:rsidP="004709BF">
      <w:pPr>
        <w:pStyle w:val="Normal2"/>
      </w:pPr>
      <w:r>
        <w:t xml:space="preserve">WHL will provide renters with a clear and transparent explanation as to how their </w:t>
      </w:r>
      <w:r w:rsidRPr="00EA010F">
        <w:t xml:space="preserve">rent </w:t>
      </w:r>
      <w:r>
        <w:t>has been calculated.</w:t>
      </w:r>
    </w:p>
    <w:p w14:paraId="1D3C3946" w14:textId="77777777" w:rsidR="004709BF" w:rsidRDefault="004709BF" w:rsidP="004709BF">
      <w:pPr>
        <w:pStyle w:val="Normal2"/>
      </w:pPr>
      <w:r>
        <w:t xml:space="preserve">All renters have the right to ask WHL to review the way that WHL has determined their </w:t>
      </w:r>
      <w:r w:rsidRPr="00EA010F">
        <w:t xml:space="preserve">rent </w:t>
      </w:r>
      <w:r>
        <w:t>and to provide a further explanation.</w:t>
      </w:r>
    </w:p>
    <w:p w14:paraId="2A6DF92A" w14:textId="77777777" w:rsidR="004709BF" w:rsidRDefault="004709BF" w:rsidP="004709BF">
      <w:pPr>
        <w:pStyle w:val="Normal2"/>
      </w:pPr>
      <w:r>
        <w:t>WHL will comply with the provision in the Residential Tenancies Act that relate to rent reviews and rent increase and notices</w:t>
      </w:r>
    </w:p>
    <w:p w14:paraId="06EDFA66" w14:textId="77777777" w:rsidR="00E534FE" w:rsidRDefault="00E534FE" w:rsidP="00E534FE"/>
    <w:p w14:paraId="3D09F546" w14:textId="3D43AD3B" w:rsidR="004709BF" w:rsidRDefault="004709BF" w:rsidP="004709BF">
      <w:pPr>
        <w:pStyle w:val="Heading2"/>
      </w:pPr>
      <w:r>
        <w:t>Response to changes in household circumstances including hardship</w:t>
      </w:r>
    </w:p>
    <w:p w14:paraId="50A242CC" w14:textId="77777777" w:rsidR="00B74191" w:rsidRDefault="00B74191" w:rsidP="00B74191">
      <w:pPr>
        <w:pStyle w:val="Normal2"/>
      </w:pPr>
      <w:r>
        <w:t>If a renter contacts WHL and is facing hardship with paying rent, WHL will review the rent in accord with the WHL Hardship Policy</w:t>
      </w:r>
    </w:p>
    <w:p w14:paraId="7BE9669F" w14:textId="77777777" w:rsidR="00B74191" w:rsidRPr="00C60B9B" w:rsidRDefault="00B74191" w:rsidP="00B74191">
      <w:pPr>
        <w:pStyle w:val="Normal2"/>
      </w:pPr>
      <w:r>
        <w:t>Generally, rental changes will only take effect on and from the date the renter contacted WHL and provided reasonable details of the change in the household circumstances.  WHL may agree to back-date changes in rent payable in circumstances where WHL determines that the renter ought to be granted relief from hardship.</w:t>
      </w:r>
      <w:bookmarkStart w:id="4" w:name="_Toc370821038"/>
      <w:bookmarkStart w:id="5" w:name="_Toc370822336"/>
      <w:bookmarkStart w:id="6" w:name="_Toc370822545"/>
      <w:bookmarkStart w:id="7" w:name="_Toc431398091"/>
      <w:bookmarkStart w:id="8" w:name="_Toc464221560"/>
      <w:bookmarkStart w:id="9" w:name="_Toc464221737"/>
      <w:bookmarkStart w:id="10" w:name="_Toc370821059"/>
      <w:bookmarkStart w:id="11" w:name="_Toc370822357"/>
      <w:bookmarkStart w:id="12" w:name="_Toc370822566"/>
      <w:bookmarkStart w:id="13" w:name="_Toc431398112"/>
      <w:bookmarkStart w:id="14" w:name="_Toc464221581"/>
      <w:bookmarkStart w:id="15" w:name="_Toc464221758"/>
      <w:bookmarkEnd w:id="4"/>
      <w:bookmarkEnd w:id="5"/>
      <w:bookmarkEnd w:id="6"/>
      <w:bookmarkEnd w:id="7"/>
      <w:bookmarkEnd w:id="8"/>
      <w:bookmarkEnd w:id="9"/>
      <w:bookmarkEnd w:id="10"/>
      <w:bookmarkEnd w:id="11"/>
      <w:bookmarkEnd w:id="12"/>
      <w:bookmarkEnd w:id="13"/>
      <w:bookmarkEnd w:id="14"/>
      <w:bookmarkEnd w:id="15"/>
    </w:p>
    <w:p w14:paraId="4BC1AC21" w14:textId="77777777" w:rsidR="004709BF" w:rsidRDefault="004709BF" w:rsidP="004709BF"/>
    <w:p w14:paraId="453E02D4" w14:textId="2530294F" w:rsidR="00B74191" w:rsidRDefault="00B74191" w:rsidP="00B74191">
      <w:pPr>
        <w:pStyle w:val="Heading2"/>
      </w:pPr>
      <w:r>
        <w:lastRenderedPageBreak/>
        <w:t>Affordable housing</w:t>
      </w:r>
    </w:p>
    <w:p w14:paraId="2EC31505" w14:textId="77777777" w:rsidR="00E73BAC" w:rsidRPr="00C60B9B" w:rsidRDefault="00E73BAC" w:rsidP="00C60B9B">
      <w:pPr>
        <w:pStyle w:val="Normal2"/>
      </w:pPr>
      <w:r w:rsidRPr="00C60B9B">
        <w:t>Affordable Housing rents are set at 74.99% of the Market Rent (Discounted Market Rent) An affordability test will be applied to determine if the household pays more than 30% of gross income in rent.</w:t>
      </w:r>
    </w:p>
    <w:p w14:paraId="0D0A1C03" w14:textId="77777777" w:rsidR="00E73BAC" w:rsidRPr="00C60B9B" w:rsidRDefault="00E73BAC" w:rsidP="00C60B9B">
      <w:pPr>
        <w:pStyle w:val="Normal2"/>
      </w:pPr>
      <w:r w:rsidRPr="00C60B9B">
        <w:t>100% of the eligible Commonwealth Rent Assistance will be included in the rent payable.</w:t>
      </w:r>
    </w:p>
    <w:p w14:paraId="57E16599" w14:textId="77777777" w:rsidR="00E73BAC" w:rsidRPr="00C60B9B" w:rsidRDefault="00E73BAC" w:rsidP="00C60B9B">
      <w:pPr>
        <w:pStyle w:val="Normal2"/>
      </w:pPr>
      <w:r w:rsidRPr="00C60B9B">
        <w:t>Affordable Housing Rents will be reviewed once every 12 months.</w:t>
      </w:r>
    </w:p>
    <w:p w14:paraId="7254FA14" w14:textId="77777777" w:rsidR="00B74191" w:rsidRDefault="00B74191" w:rsidP="00B74191"/>
    <w:p w14:paraId="6C3D2FB6" w14:textId="4BB2E091" w:rsidR="00E73BAC" w:rsidRDefault="00E73BAC" w:rsidP="00E73BAC">
      <w:pPr>
        <w:pStyle w:val="Heading2"/>
      </w:pPr>
      <w:r>
        <w:t>Market rent</w:t>
      </w:r>
    </w:p>
    <w:p w14:paraId="06FCE1F4" w14:textId="77777777" w:rsidR="00920D73" w:rsidRPr="00C60B9B" w:rsidRDefault="00920D73" w:rsidP="00C60B9B">
      <w:pPr>
        <w:pStyle w:val="Normal2"/>
      </w:pPr>
      <w:r w:rsidRPr="00C60B9B">
        <w:t xml:space="preserve">Market rent is the value of the rent for a property when compared with similar properties in the same or similar location. </w:t>
      </w:r>
    </w:p>
    <w:p w14:paraId="2E750337" w14:textId="77777777" w:rsidR="00920D73" w:rsidRPr="00C60B9B" w:rsidRDefault="00920D73" w:rsidP="00C60B9B">
      <w:pPr>
        <w:pStyle w:val="Normal2"/>
      </w:pPr>
      <w:r>
        <w:t>WHL will provide a GST free supply of accommodation. This is achieved by ensuring</w:t>
      </w:r>
      <w:r w:rsidRPr="00C60B9B">
        <w:t xml:space="preserve"> the rent is less than 75% of the GST-inclusive market value of the supply. </w:t>
      </w:r>
    </w:p>
    <w:p w14:paraId="5A0929F3" w14:textId="77777777" w:rsidR="00920D73" w:rsidRPr="00C60B9B" w:rsidRDefault="00920D73" w:rsidP="00C60B9B">
      <w:pPr>
        <w:pStyle w:val="Normal2"/>
      </w:pPr>
      <w:r w:rsidRPr="00C60B9B">
        <w:t>The ATO Market Value Guidelines outline methodologies which allow charities to determine a market value that is acceptable to the ATO, when applying the non-commercial supply rules.</w:t>
      </w:r>
    </w:p>
    <w:p w14:paraId="2C9B285E" w14:textId="77777777" w:rsidR="00920D73" w:rsidRPr="00C60B9B" w:rsidRDefault="00920D73" w:rsidP="00C60B9B">
      <w:pPr>
        <w:pStyle w:val="Normal2"/>
      </w:pPr>
      <w:r w:rsidRPr="00C60B9B">
        <w:t xml:space="preserve">In line with these rules, WHL may: </w:t>
      </w:r>
    </w:p>
    <w:p w14:paraId="576876DD" w14:textId="77777777" w:rsidR="00920D73" w:rsidRPr="00332050" w:rsidRDefault="00920D73" w:rsidP="00920D73">
      <w:pPr>
        <w:numPr>
          <w:ilvl w:val="0"/>
          <w:numId w:val="42"/>
        </w:numPr>
        <w:spacing w:after="120"/>
        <w:rPr>
          <w:lang w:val="en-AU"/>
        </w:rPr>
      </w:pPr>
      <w:r w:rsidRPr="00332050">
        <w:rPr>
          <w:lang w:val="en-US"/>
        </w:rPr>
        <w:t>Use the detailed benchmark market values provided by the ATO; or</w:t>
      </w:r>
    </w:p>
    <w:p w14:paraId="5DA4D885" w14:textId="77777777" w:rsidR="00920D73" w:rsidRPr="00332050" w:rsidRDefault="00920D73" w:rsidP="00920D73">
      <w:pPr>
        <w:numPr>
          <w:ilvl w:val="0"/>
          <w:numId w:val="42"/>
        </w:numPr>
        <w:spacing w:after="120"/>
        <w:rPr>
          <w:lang w:val="en-AU"/>
        </w:rPr>
      </w:pPr>
      <w:r w:rsidRPr="00332050">
        <w:rPr>
          <w:lang w:val="en-US"/>
        </w:rPr>
        <w:t xml:space="preserve">Obtain an independent market valuation from a qualified valuer; or </w:t>
      </w:r>
    </w:p>
    <w:p w14:paraId="18135729" w14:textId="77777777" w:rsidR="00920D73" w:rsidRPr="000658FE" w:rsidRDefault="00920D73" w:rsidP="00920D73">
      <w:pPr>
        <w:numPr>
          <w:ilvl w:val="0"/>
          <w:numId w:val="42"/>
        </w:numPr>
        <w:spacing w:after="120"/>
        <w:rPr>
          <w:lang w:val="en-AU"/>
        </w:rPr>
      </w:pPr>
      <w:r>
        <w:rPr>
          <w:lang w:val="en-US"/>
        </w:rPr>
        <w:t xml:space="preserve">Use a </w:t>
      </w:r>
      <w:r w:rsidRPr="00332050">
        <w:rPr>
          <w:lang w:val="en-US"/>
        </w:rPr>
        <w:t>Desktop method</w:t>
      </w:r>
      <w:r>
        <w:rPr>
          <w:lang w:val="en-US"/>
        </w:rPr>
        <w:t xml:space="preserve"> and</w:t>
      </w:r>
      <w:r w:rsidRPr="00332050">
        <w:rPr>
          <w:lang w:val="en-US"/>
        </w:rPr>
        <w:t xml:space="preserve"> undertake a market valuation procedure based on the ATO market value guidelines.</w:t>
      </w:r>
    </w:p>
    <w:p w14:paraId="39038880" w14:textId="77777777" w:rsidR="00920D73" w:rsidRDefault="00920D73" w:rsidP="00C60B9B">
      <w:pPr>
        <w:pStyle w:val="Normal2"/>
      </w:pPr>
      <w:r>
        <w:t>WHL will not charge more than 74.99% of the Market Rent Valuation. This amount (referred to here as the Discounted Market Rent) should be listed as ‘rent’ on all rental agreements. A separate document attached to the rental agreement will outline the rebated rent assessment and list this plus any service charges as the ‘rent payable’.</w:t>
      </w:r>
    </w:p>
    <w:p w14:paraId="579870B6" w14:textId="77777777" w:rsidR="00920D73" w:rsidRDefault="00920D73" w:rsidP="00C60B9B">
      <w:pPr>
        <w:pStyle w:val="Normal2"/>
      </w:pPr>
      <w:r>
        <w:t>THM and General Lease properties have their rent capped at the Property Market Rent advised by the DFFH annually. The Rent on these properties will not exceed the Property Market Rent advised by the Department.</w:t>
      </w:r>
    </w:p>
    <w:p w14:paraId="37467FF4" w14:textId="77777777" w:rsidR="00E73BAC" w:rsidRDefault="00E73BAC" w:rsidP="00E73BAC"/>
    <w:p w14:paraId="1616FD5F" w14:textId="2D653311" w:rsidR="00920D73" w:rsidRDefault="00920D73" w:rsidP="00920D73">
      <w:pPr>
        <w:pStyle w:val="Heading1"/>
      </w:pPr>
      <w:r>
        <w:t>Procedures</w:t>
      </w:r>
    </w:p>
    <w:p w14:paraId="79E9D1A8" w14:textId="77777777" w:rsidR="00496E46" w:rsidRDefault="00496E46" w:rsidP="00496E46">
      <w:pPr>
        <w:pStyle w:val="Normal2"/>
      </w:pPr>
      <w:r>
        <w:t>Procedures established by WHL will include processes to ensure compliance with this policy, including:</w:t>
      </w:r>
    </w:p>
    <w:p w14:paraId="1A1D0555" w14:textId="77777777" w:rsidR="00496E46" w:rsidRDefault="00496E46" w:rsidP="00496E46">
      <w:pPr>
        <w:pStyle w:val="Bulleted"/>
        <w:numPr>
          <w:ilvl w:val="0"/>
          <w:numId w:val="39"/>
        </w:numPr>
        <w:tabs>
          <w:tab w:val="left" w:pos="0"/>
        </w:tabs>
        <w:ind w:hanging="720"/>
      </w:pPr>
      <w:r w:rsidRPr="0015053F">
        <w:t>how to set and review the rent</w:t>
      </w:r>
    </w:p>
    <w:p w14:paraId="6662458C" w14:textId="77777777" w:rsidR="00496E46" w:rsidRPr="0015053F" w:rsidRDefault="00496E46" w:rsidP="00496E46">
      <w:pPr>
        <w:pStyle w:val="Bulleted"/>
        <w:numPr>
          <w:ilvl w:val="0"/>
          <w:numId w:val="39"/>
        </w:numPr>
        <w:tabs>
          <w:tab w:val="left" w:pos="0"/>
        </w:tabs>
        <w:ind w:hanging="720"/>
      </w:pPr>
      <w:r>
        <w:t>the procedure for rent reviews</w:t>
      </w:r>
    </w:p>
    <w:p w14:paraId="63130A7D" w14:textId="77777777" w:rsidR="00496E46" w:rsidRPr="0015053F" w:rsidRDefault="00496E46" w:rsidP="00496E46">
      <w:pPr>
        <w:pStyle w:val="Bulleted"/>
        <w:numPr>
          <w:ilvl w:val="0"/>
          <w:numId w:val="39"/>
        </w:numPr>
        <w:tabs>
          <w:tab w:val="left" w:pos="0"/>
        </w:tabs>
        <w:ind w:hanging="720"/>
      </w:pPr>
      <w:r w:rsidRPr="0015053F">
        <w:t xml:space="preserve">communication with applicants and </w:t>
      </w:r>
      <w:r>
        <w:t>renters</w:t>
      </w:r>
      <w:r w:rsidRPr="0015053F">
        <w:t xml:space="preserve"> about how [CHO] has determined their rent</w:t>
      </w:r>
    </w:p>
    <w:p w14:paraId="6C863633" w14:textId="77777777" w:rsidR="00496E46" w:rsidRPr="0015053F" w:rsidRDefault="00496E46" w:rsidP="00496E46">
      <w:pPr>
        <w:pStyle w:val="Bulleted"/>
        <w:numPr>
          <w:ilvl w:val="0"/>
          <w:numId w:val="39"/>
        </w:numPr>
        <w:tabs>
          <w:tab w:val="left" w:pos="0"/>
        </w:tabs>
        <w:ind w:hanging="720"/>
      </w:pPr>
      <w:r>
        <w:t>ending tenancies</w:t>
      </w:r>
    </w:p>
    <w:p w14:paraId="73DA25BB" w14:textId="77777777" w:rsidR="00496E46" w:rsidRDefault="00496E46" w:rsidP="00496E46">
      <w:pPr>
        <w:pStyle w:val="Bulleted"/>
        <w:numPr>
          <w:ilvl w:val="0"/>
          <w:numId w:val="39"/>
        </w:numPr>
        <w:tabs>
          <w:tab w:val="left" w:pos="0"/>
        </w:tabs>
        <w:ind w:hanging="720"/>
      </w:pPr>
      <w:r>
        <w:t xml:space="preserve">how renters may ask for a determination of </w:t>
      </w:r>
      <w:r w:rsidRPr="00B146EE">
        <w:t xml:space="preserve">rent </w:t>
      </w:r>
      <w:r>
        <w:t>to be reviewed</w:t>
      </w:r>
    </w:p>
    <w:p w14:paraId="12E663A8" w14:textId="77777777" w:rsidR="00496E46" w:rsidRPr="006673DD" w:rsidRDefault="00496E46" w:rsidP="00496E46">
      <w:pPr>
        <w:pStyle w:val="Bulleted"/>
        <w:numPr>
          <w:ilvl w:val="0"/>
          <w:numId w:val="39"/>
        </w:numPr>
        <w:tabs>
          <w:tab w:val="left" w:pos="0"/>
        </w:tabs>
        <w:ind w:hanging="720"/>
      </w:pPr>
      <w:r>
        <w:t>how to apply the hardship policy</w:t>
      </w:r>
    </w:p>
    <w:p w14:paraId="2191FC5E" w14:textId="77777777" w:rsidR="00920D73" w:rsidRDefault="00920D73" w:rsidP="00920D73"/>
    <w:p w14:paraId="2CA39635" w14:textId="6D7EF5CD" w:rsidR="00496E46" w:rsidRDefault="00496E46" w:rsidP="00496E46">
      <w:pPr>
        <w:pStyle w:val="Heading1"/>
      </w:pPr>
      <w:r>
        <w:t>Responsibilities</w:t>
      </w:r>
    </w:p>
    <w:p w14:paraId="731673FA" w14:textId="078A718E" w:rsidR="00496E46" w:rsidRDefault="00496E46" w:rsidP="00496E46">
      <w:pPr>
        <w:pStyle w:val="Heading2"/>
      </w:pPr>
      <w:r>
        <w:t>Board</w:t>
      </w:r>
    </w:p>
    <w:p w14:paraId="478A184A" w14:textId="12CA5168" w:rsidR="0081161E" w:rsidRPr="0081161E" w:rsidRDefault="0081161E" w:rsidP="0081161E">
      <w:pPr>
        <w:pStyle w:val="Bulleted"/>
        <w:numPr>
          <w:ilvl w:val="0"/>
          <w:numId w:val="39"/>
        </w:numPr>
        <w:tabs>
          <w:tab w:val="left" w:pos="0"/>
        </w:tabs>
        <w:ind w:hanging="720"/>
      </w:pPr>
      <w:r>
        <w:t>To be aware of this policy</w:t>
      </w:r>
    </w:p>
    <w:p w14:paraId="78011EB5" w14:textId="77777777" w:rsidR="001B779F" w:rsidRDefault="001B779F" w:rsidP="001B779F">
      <w:pPr>
        <w:pStyle w:val="Heading2"/>
      </w:pPr>
      <w:bookmarkStart w:id="16" w:name="_Toc186464381"/>
      <w:bookmarkStart w:id="17" w:name="_Toc186465622"/>
      <w:r>
        <w:lastRenderedPageBreak/>
        <w:t>Chief Executive Officer</w:t>
      </w:r>
      <w:bookmarkEnd w:id="16"/>
      <w:bookmarkEnd w:id="17"/>
    </w:p>
    <w:p w14:paraId="5E040488" w14:textId="77777777" w:rsidR="001B779F" w:rsidRDefault="001B779F" w:rsidP="001B779F">
      <w:pPr>
        <w:pStyle w:val="Bulleted"/>
        <w:numPr>
          <w:ilvl w:val="0"/>
          <w:numId w:val="39"/>
        </w:numPr>
        <w:tabs>
          <w:tab w:val="left" w:pos="0"/>
        </w:tabs>
        <w:ind w:hanging="720"/>
      </w:pPr>
      <w:r>
        <w:t>To be aware of this policy</w:t>
      </w:r>
    </w:p>
    <w:p w14:paraId="5B2EBC22" w14:textId="77777777" w:rsidR="001B779F" w:rsidRDefault="001B779F" w:rsidP="001B779F">
      <w:pPr>
        <w:pStyle w:val="Heading2"/>
      </w:pPr>
      <w:bookmarkStart w:id="18" w:name="_Toc391906732"/>
      <w:bookmarkStart w:id="19" w:name="_Toc186464382"/>
      <w:bookmarkStart w:id="20" w:name="_Toc186465623"/>
      <w:bookmarkEnd w:id="18"/>
      <w:r>
        <w:t>Operations Manager</w:t>
      </w:r>
      <w:bookmarkEnd w:id="19"/>
      <w:bookmarkEnd w:id="20"/>
    </w:p>
    <w:p w14:paraId="2AF43F51" w14:textId="77777777" w:rsidR="001B779F" w:rsidRDefault="001B779F" w:rsidP="001B779F">
      <w:pPr>
        <w:pStyle w:val="Bulleted"/>
        <w:numPr>
          <w:ilvl w:val="0"/>
          <w:numId w:val="39"/>
        </w:numPr>
        <w:tabs>
          <w:tab w:val="left" w:pos="0"/>
        </w:tabs>
        <w:ind w:hanging="720"/>
      </w:pPr>
      <w:r>
        <w:t xml:space="preserve">To ensure that this policy is implemented correctly </w:t>
      </w:r>
    </w:p>
    <w:p w14:paraId="772DCD88" w14:textId="77777777" w:rsidR="001B779F" w:rsidRDefault="001B779F" w:rsidP="001B779F">
      <w:pPr>
        <w:pStyle w:val="Bulleted"/>
        <w:numPr>
          <w:ilvl w:val="0"/>
          <w:numId w:val="39"/>
        </w:numPr>
        <w:tabs>
          <w:tab w:val="left" w:pos="0"/>
        </w:tabs>
        <w:ind w:hanging="720"/>
      </w:pPr>
      <w:r>
        <w:t xml:space="preserve">To be responsible for overall handling of complaints </w:t>
      </w:r>
    </w:p>
    <w:p w14:paraId="3332C2B5" w14:textId="77777777" w:rsidR="001B779F" w:rsidRDefault="001B779F" w:rsidP="001B779F">
      <w:pPr>
        <w:pStyle w:val="Bulleted"/>
        <w:numPr>
          <w:ilvl w:val="0"/>
          <w:numId w:val="39"/>
        </w:numPr>
        <w:tabs>
          <w:tab w:val="left" w:pos="0"/>
        </w:tabs>
        <w:ind w:hanging="720"/>
      </w:pPr>
      <w:r>
        <w:t xml:space="preserve">To maintain knowledge of change in policy or legislation relating to rent setting </w:t>
      </w:r>
    </w:p>
    <w:p w14:paraId="3D646D99" w14:textId="77777777" w:rsidR="001B779F" w:rsidRDefault="001B779F" w:rsidP="001B779F">
      <w:pPr>
        <w:pStyle w:val="Bulleted"/>
        <w:numPr>
          <w:ilvl w:val="0"/>
          <w:numId w:val="39"/>
        </w:numPr>
        <w:tabs>
          <w:tab w:val="left" w:pos="0"/>
        </w:tabs>
        <w:ind w:hanging="720"/>
      </w:pPr>
      <w:r>
        <w:t>To ensure that procedures are modified when required</w:t>
      </w:r>
    </w:p>
    <w:p w14:paraId="50CD6A3C" w14:textId="77777777" w:rsidR="001B779F" w:rsidRDefault="001B779F" w:rsidP="001B779F">
      <w:pPr>
        <w:pStyle w:val="Heading2"/>
      </w:pPr>
      <w:bookmarkStart w:id="21" w:name="_Toc186464383"/>
      <w:bookmarkStart w:id="22" w:name="_Toc186465624"/>
      <w:r>
        <w:t>Housing Services Manager</w:t>
      </w:r>
      <w:bookmarkEnd w:id="21"/>
      <w:bookmarkEnd w:id="22"/>
    </w:p>
    <w:p w14:paraId="73716FF6" w14:textId="77777777" w:rsidR="001B779F" w:rsidRDefault="001B779F" w:rsidP="001B779F">
      <w:pPr>
        <w:pStyle w:val="Bulleted"/>
        <w:numPr>
          <w:ilvl w:val="0"/>
          <w:numId w:val="39"/>
        </w:numPr>
        <w:tabs>
          <w:tab w:val="left" w:pos="0"/>
        </w:tabs>
        <w:ind w:hanging="720"/>
      </w:pPr>
      <w:r>
        <w:t>To ensure that tenancy workers apply rent setting and rent review procedures correctly and consistently</w:t>
      </w:r>
    </w:p>
    <w:p w14:paraId="61E12D59" w14:textId="77777777" w:rsidR="001B779F" w:rsidRDefault="001B779F" w:rsidP="001B779F">
      <w:pPr>
        <w:pStyle w:val="Bulleted"/>
        <w:numPr>
          <w:ilvl w:val="0"/>
          <w:numId w:val="39"/>
        </w:numPr>
        <w:tabs>
          <w:tab w:val="left" w:pos="0"/>
        </w:tabs>
        <w:ind w:hanging="720"/>
      </w:pPr>
      <w:r>
        <w:t>To facilitate appropriate staff training</w:t>
      </w:r>
    </w:p>
    <w:p w14:paraId="16958846" w14:textId="77777777" w:rsidR="001B779F" w:rsidRDefault="001B779F" w:rsidP="001B779F">
      <w:pPr>
        <w:pStyle w:val="Bulleted"/>
        <w:numPr>
          <w:ilvl w:val="0"/>
          <w:numId w:val="39"/>
        </w:numPr>
        <w:tabs>
          <w:tab w:val="left" w:pos="0"/>
        </w:tabs>
        <w:ind w:hanging="720"/>
      </w:pPr>
      <w:r>
        <w:t xml:space="preserve">To maintain knowledge of change in policy or legislation relating to rent setting </w:t>
      </w:r>
    </w:p>
    <w:p w14:paraId="0199B036" w14:textId="77777777" w:rsidR="001B779F" w:rsidRDefault="001B779F" w:rsidP="001B779F">
      <w:pPr>
        <w:pStyle w:val="Bulleted"/>
        <w:numPr>
          <w:ilvl w:val="0"/>
          <w:numId w:val="39"/>
        </w:numPr>
        <w:tabs>
          <w:tab w:val="left" w:pos="0"/>
        </w:tabs>
        <w:ind w:hanging="720"/>
      </w:pPr>
      <w:r>
        <w:t>To ensure that procedures are modified when required</w:t>
      </w:r>
    </w:p>
    <w:p w14:paraId="0009C5BD" w14:textId="77777777" w:rsidR="001B779F" w:rsidRDefault="001B779F" w:rsidP="001B779F">
      <w:pPr>
        <w:pStyle w:val="Bulleted"/>
        <w:numPr>
          <w:ilvl w:val="0"/>
          <w:numId w:val="39"/>
        </w:numPr>
        <w:tabs>
          <w:tab w:val="left" w:pos="0"/>
        </w:tabs>
        <w:ind w:hanging="720"/>
      </w:pPr>
      <w:r>
        <w:t xml:space="preserve">To update rent setting/review resources </w:t>
      </w:r>
    </w:p>
    <w:p w14:paraId="11F38708" w14:textId="77777777" w:rsidR="001B779F" w:rsidRDefault="001B779F" w:rsidP="001B779F">
      <w:pPr>
        <w:pStyle w:val="Heading2"/>
      </w:pPr>
      <w:bookmarkStart w:id="23" w:name="_Toc186464384"/>
      <w:bookmarkStart w:id="24" w:name="_Toc186465625"/>
      <w:r>
        <w:t>Tenancy Staff</w:t>
      </w:r>
      <w:bookmarkEnd w:id="23"/>
      <w:bookmarkEnd w:id="24"/>
      <w:r>
        <w:t xml:space="preserve"> </w:t>
      </w:r>
    </w:p>
    <w:p w14:paraId="468FF2B1" w14:textId="77777777" w:rsidR="001B779F" w:rsidRDefault="001B779F" w:rsidP="001B779F">
      <w:pPr>
        <w:pStyle w:val="Bulleted"/>
        <w:numPr>
          <w:ilvl w:val="0"/>
          <w:numId w:val="39"/>
        </w:numPr>
        <w:tabs>
          <w:tab w:val="left" w:pos="0"/>
        </w:tabs>
        <w:ind w:hanging="720"/>
      </w:pPr>
      <w:r>
        <w:t>To be aware of this policy</w:t>
      </w:r>
    </w:p>
    <w:p w14:paraId="1B5E472A" w14:textId="77777777" w:rsidR="001B779F" w:rsidRDefault="001B779F" w:rsidP="001B779F">
      <w:pPr>
        <w:pStyle w:val="Bulleted"/>
        <w:numPr>
          <w:ilvl w:val="0"/>
          <w:numId w:val="39"/>
        </w:numPr>
        <w:tabs>
          <w:tab w:val="left" w:pos="0"/>
        </w:tabs>
        <w:ind w:hanging="720"/>
      </w:pPr>
      <w:r>
        <w:t>To apply this policy diligently and fairly</w:t>
      </w:r>
    </w:p>
    <w:p w14:paraId="0ADCD5E0" w14:textId="77777777" w:rsidR="001B779F" w:rsidRDefault="001B779F" w:rsidP="001B779F">
      <w:pPr>
        <w:pStyle w:val="Bulleted"/>
        <w:numPr>
          <w:ilvl w:val="0"/>
          <w:numId w:val="39"/>
        </w:numPr>
        <w:tabs>
          <w:tab w:val="left" w:pos="0"/>
        </w:tabs>
        <w:ind w:hanging="720"/>
      </w:pPr>
      <w:r>
        <w:t>To maintain records</w:t>
      </w:r>
    </w:p>
    <w:p w14:paraId="712826B9" w14:textId="77777777" w:rsidR="00496E46" w:rsidRPr="00496E46" w:rsidRDefault="00496E46" w:rsidP="00496E46"/>
    <w:p w14:paraId="64B295CC" w14:textId="4DA330C9" w:rsidR="00377784" w:rsidRDefault="0081161E" w:rsidP="0081161E">
      <w:pPr>
        <w:pStyle w:val="Heading1"/>
      </w:pPr>
      <w:r>
        <w:t>Definitions</w:t>
      </w:r>
    </w:p>
    <w:p w14:paraId="030F2514" w14:textId="77777777" w:rsidR="007126DB" w:rsidRDefault="007126DB" w:rsidP="007126DB">
      <w:pPr>
        <w:pStyle w:val="Heading1"/>
      </w:pPr>
    </w:p>
    <w:tbl>
      <w:tblPr>
        <w:tblW w:w="9299" w:type="dxa"/>
        <w:tblInd w:w="108" w:type="dxa"/>
        <w:tblLook w:val="0000" w:firstRow="0" w:lastRow="0" w:firstColumn="0" w:lastColumn="0" w:noHBand="0" w:noVBand="0"/>
      </w:tblPr>
      <w:tblGrid>
        <w:gridCol w:w="3620"/>
        <w:gridCol w:w="5679"/>
      </w:tblGrid>
      <w:tr w:rsidR="007126DB" w:rsidRPr="00D12BD4" w14:paraId="2F1EE539" w14:textId="77777777" w:rsidTr="002E3F3A">
        <w:trPr>
          <w:tblHeader/>
        </w:trPr>
        <w:tc>
          <w:tcPr>
            <w:tcW w:w="3620" w:type="dxa"/>
            <w:tcBorders>
              <w:top w:val="single" w:sz="4" w:space="0" w:color="000000"/>
              <w:left w:val="single" w:sz="4" w:space="0" w:color="000000"/>
              <w:bottom w:val="single" w:sz="4" w:space="0" w:color="000000"/>
              <w:right w:val="single" w:sz="4" w:space="0" w:color="000000"/>
            </w:tcBorders>
          </w:tcPr>
          <w:p w14:paraId="770E1966" w14:textId="77777777" w:rsidR="007126DB" w:rsidRPr="00D12BD4" w:rsidRDefault="007126DB" w:rsidP="002E3F3A">
            <w:pPr>
              <w:pStyle w:val="Normal2"/>
              <w:rPr>
                <w:b/>
                <w:bCs/>
                <w:color w:val="4472C4"/>
              </w:rPr>
            </w:pPr>
            <w:r w:rsidRPr="00D12BD4">
              <w:rPr>
                <w:b/>
                <w:bCs/>
                <w:color w:val="4472C4"/>
              </w:rPr>
              <w:t>Term</w:t>
            </w:r>
          </w:p>
        </w:tc>
        <w:tc>
          <w:tcPr>
            <w:tcW w:w="5679" w:type="dxa"/>
            <w:tcBorders>
              <w:top w:val="single" w:sz="4" w:space="0" w:color="000000"/>
              <w:left w:val="single" w:sz="4" w:space="0" w:color="000000"/>
              <w:bottom w:val="single" w:sz="4" w:space="0" w:color="000000"/>
              <w:right w:val="single" w:sz="4" w:space="0" w:color="000000"/>
            </w:tcBorders>
          </w:tcPr>
          <w:p w14:paraId="72F1538B" w14:textId="77777777" w:rsidR="007126DB" w:rsidRPr="00D12BD4" w:rsidRDefault="007126DB" w:rsidP="002E3F3A">
            <w:pPr>
              <w:pStyle w:val="Normal2"/>
              <w:rPr>
                <w:b/>
                <w:bCs/>
                <w:color w:val="4472C4"/>
              </w:rPr>
            </w:pPr>
            <w:r w:rsidRPr="00D12BD4">
              <w:rPr>
                <w:b/>
                <w:bCs/>
                <w:color w:val="4472C4"/>
              </w:rPr>
              <w:t>Definition</w:t>
            </w:r>
          </w:p>
        </w:tc>
      </w:tr>
      <w:tr w:rsidR="007126DB" w14:paraId="6694BE56"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4F4C7A92" w14:textId="77777777" w:rsidR="007126DB" w:rsidRDefault="007126DB" w:rsidP="002E3F3A">
            <w:pPr>
              <w:pStyle w:val="Normal2"/>
              <w:rPr>
                <w:rFonts w:cs="Arial"/>
                <w:color w:val="000000"/>
                <w:spacing w:val="4"/>
              </w:rPr>
            </w:pPr>
            <w:r>
              <w:rPr>
                <w:rFonts w:cs="Arial"/>
                <w:color w:val="000000"/>
                <w:spacing w:val="4"/>
              </w:rPr>
              <w:t>Assessable Income</w:t>
            </w:r>
          </w:p>
        </w:tc>
        <w:tc>
          <w:tcPr>
            <w:tcW w:w="5679" w:type="dxa"/>
            <w:tcBorders>
              <w:top w:val="single" w:sz="4" w:space="0" w:color="000000"/>
              <w:left w:val="single" w:sz="4" w:space="0" w:color="000000"/>
              <w:bottom w:val="single" w:sz="4" w:space="0" w:color="000000"/>
              <w:right w:val="single" w:sz="4" w:space="0" w:color="000000"/>
            </w:tcBorders>
          </w:tcPr>
          <w:p w14:paraId="44071C17" w14:textId="77777777" w:rsidR="007126DB" w:rsidRDefault="007126DB" w:rsidP="002E3F3A">
            <w:pPr>
              <w:pStyle w:val="Normal2"/>
              <w:rPr>
                <w:rFonts w:cs="Arial"/>
                <w:color w:val="000000"/>
                <w:spacing w:val="4"/>
              </w:rPr>
            </w:pPr>
            <w:r>
              <w:rPr>
                <w:rFonts w:cs="Arial"/>
                <w:color w:val="000000"/>
                <w:spacing w:val="4"/>
              </w:rPr>
              <w:t xml:space="preserve">Income used to determine the level of rent payable in social housing. See appendix to Rent </w:t>
            </w:r>
            <w:proofErr w:type="spellStart"/>
            <w:r>
              <w:rPr>
                <w:rFonts w:cs="Arial"/>
                <w:color w:val="000000"/>
                <w:spacing w:val="4"/>
              </w:rPr>
              <w:t>Reivew</w:t>
            </w:r>
            <w:proofErr w:type="spellEnd"/>
            <w:r>
              <w:rPr>
                <w:rFonts w:cs="Arial"/>
                <w:color w:val="000000"/>
                <w:spacing w:val="4"/>
              </w:rPr>
              <w:t xml:space="preserve"> Procedure.</w:t>
            </w:r>
          </w:p>
          <w:p w14:paraId="5FCD6B28" w14:textId="77777777" w:rsidR="007126DB" w:rsidRDefault="007126DB" w:rsidP="002E3F3A">
            <w:pPr>
              <w:pStyle w:val="Normal2"/>
              <w:rPr>
                <w:rFonts w:cs="Arial"/>
                <w:color w:val="000000"/>
                <w:spacing w:val="4"/>
              </w:rPr>
            </w:pPr>
          </w:p>
        </w:tc>
      </w:tr>
      <w:tr w:rsidR="007126DB" w14:paraId="505D2B76"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7356DD27" w14:textId="77777777" w:rsidR="007126DB" w:rsidRDefault="007126DB" w:rsidP="002E3F3A">
            <w:pPr>
              <w:pStyle w:val="Normal2"/>
              <w:rPr>
                <w:rFonts w:cs="Arial"/>
                <w:color w:val="000000"/>
                <w:spacing w:val="4"/>
              </w:rPr>
            </w:pPr>
            <w:r>
              <w:rPr>
                <w:rFonts w:cs="Arial"/>
                <w:color w:val="000000"/>
                <w:spacing w:val="4"/>
              </w:rPr>
              <w:t>Community housing</w:t>
            </w:r>
          </w:p>
        </w:tc>
        <w:tc>
          <w:tcPr>
            <w:tcW w:w="5679" w:type="dxa"/>
            <w:tcBorders>
              <w:top w:val="single" w:sz="4" w:space="0" w:color="000000"/>
              <w:left w:val="single" w:sz="4" w:space="0" w:color="000000"/>
              <w:bottom w:val="single" w:sz="4" w:space="0" w:color="000000"/>
              <w:right w:val="single" w:sz="4" w:space="0" w:color="000000"/>
            </w:tcBorders>
          </w:tcPr>
          <w:p w14:paraId="666F214B" w14:textId="77777777" w:rsidR="007126DB" w:rsidRDefault="007126DB" w:rsidP="002E3F3A">
            <w:pPr>
              <w:pStyle w:val="Normal2"/>
              <w:rPr>
                <w:rFonts w:cs="Arial"/>
                <w:color w:val="000000"/>
                <w:spacing w:val="4"/>
              </w:rPr>
            </w:pPr>
            <w:r>
              <w:rPr>
                <w:rFonts w:cs="Arial"/>
                <w:color w:val="000000"/>
                <w:spacing w:val="4"/>
              </w:rPr>
              <w:t xml:space="preserve">Rental housing managed by not-for-profit organisations for people on low to moderate incomes. Housing managed by community housing organisations may be owned by the organisation, owned by the </w:t>
            </w:r>
            <w:r w:rsidRPr="005B336D">
              <w:rPr>
                <w:rFonts w:cs="Arial"/>
                <w:color w:val="000000"/>
                <w:spacing w:val="4"/>
              </w:rPr>
              <w:t>Department of Families, Fairness and Housing (</w:t>
            </w:r>
            <w:proofErr w:type="gramStart"/>
            <w:r w:rsidRPr="005B336D">
              <w:rPr>
                <w:rFonts w:cs="Arial"/>
                <w:color w:val="000000"/>
                <w:spacing w:val="4"/>
              </w:rPr>
              <w:t>DFFH) </w:t>
            </w:r>
            <w:r>
              <w:rPr>
                <w:rFonts w:cs="Arial"/>
                <w:color w:val="000000"/>
                <w:spacing w:val="4"/>
              </w:rPr>
              <w:t xml:space="preserve"> or</w:t>
            </w:r>
            <w:proofErr w:type="gramEnd"/>
            <w:r>
              <w:rPr>
                <w:rFonts w:cs="Arial"/>
                <w:color w:val="000000"/>
                <w:spacing w:val="4"/>
              </w:rPr>
              <w:t xml:space="preserve"> rented from private rental providers with government funding.</w:t>
            </w:r>
          </w:p>
        </w:tc>
      </w:tr>
      <w:tr w:rsidR="007126DB" w14:paraId="3AD38F4B"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21593951" w14:textId="77777777" w:rsidR="007126DB" w:rsidRDefault="007126DB" w:rsidP="002E3F3A">
            <w:pPr>
              <w:pStyle w:val="Normal2"/>
              <w:rPr>
                <w:rFonts w:cs="Arial"/>
                <w:color w:val="000000"/>
                <w:spacing w:val="4"/>
              </w:rPr>
            </w:pPr>
            <w:r>
              <w:rPr>
                <w:rFonts w:cs="Arial"/>
                <w:color w:val="000000"/>
                <w:spacing w:val="4"/>
              </w:rPr>
              <w:t>Dependant</w:t>
            </w:r>
          </w:p>
        </w:tc>
        <w:tc>
          <w:tcPr>
            <w:tcW w:w="5679" w:type="dxa"/>
            <w:tcBorders>
              <w:top w:val="single" w:sz="4" w:space="0" w:color="000000"/>
              <w:left w:val="single" w:sz="4" w:space="0" w:color="000000"/>
              <w:bottom w:val="single" w:sz="4" w:space="0" w:color="000000"/>
              <w:right w:val="single" w:sz="4" w:space="0" w:color="000000"/>
            </w:tcBorders>
          </w:tcPr>
          <w:p w14:paraId="76F89E08" w14:textId="77777777" w:rsidR="007126DB" w:rsidRDefault="007126DB" w:rsidP="002E3F3A">
            <w:pPr>
              <w:pStyle w:val="Normal2"/>
              <w:rPr>
                <w:rFonts w:cs="Arial"/>
                <w:color w:val="000000"/>
                <w:spacing w:val="4"/>
              </w:rPr>
            </w:pPr>
            <w:r>
              <w:rPr>
                <w:rFonts w:cs="Arial"/>
                <w:color w:val="000000"/>
                <w:spacing w:val="4"/>
              </w:rPr>
              <w:t>A person under 18 years of age, not receiving an independent income and who is living in an applicant’s household in the care of the renter, spouse or renter.</w:t>
            </w:r>
          </w:p>
        </w:tc>
      </w:tr>
      <w:tr w:rsidR="007126DB" w14:paraId="36E05D38"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612D09C9" w14:textId="77777777" w:rsidR="007126DB" w:rsidRDefault="007126DB" w:rsidP="002E3F3A">
            <w:pPr>
              <w:pStyle w:val="Normal2"/>
              <w:rPr>
                <w:rFonts w:cs="Arial"/>
                <w:color w:val="000000"/>
                <w:spacing w:val="4"/>
              </w:rPr>
            </w:pPr>
            <w:r>
              <w:rPr>
                <w:rFonts w:cs="Arial"/>
                <w:color w:val="000000"/>
                <w:spacing w:val="4"/>
              </w:rPr>
              <w:t xml:space="preserve">Director of Housing </w:t>
            </w:r>
          </w:p>
        </w:tc>
        <w:tc>
          <w:tcPr>
            <w:tcW w:w="5679" w:type="dxa"/>
            <w:tcBorders>
              <w:top w:val="single" w:sz="4" w:space="0" w:color="000000"/>
              <w:left w:val="single" w:sz="4" w:space="0" w:color="000000"/>
              <w:bottom w:val="single" w:sz="4" w:space="0" w:color="000000"/>
              <w:right w:val="single" w:sz="4" w:space="0" w:color="000000"/>
            </w:tcBorders>
          </w:tcPr>
          <w:p w14:paraId="17DD402F" w14:textId="77777777" w:rsidR="007126DB" w:rsidRDefault="007126DB" w:rsidP="002E3F3A">
            <w:pPr>
              <w:pStyle w:val="Normal2"/>
              <w:rPr>
                <w:rFonts w:cs="Arial"/>
                <w:color w:val="000000"/>
                <w:spacing w:val="4"/>
                <w:lang w:eastAsia="en-AU"/>
              </w:rPr>
            </w:pPr>
            <w:r>
              <w:rPr>
                <w:rFonts w:cs="Arial"/>
                <w:color w:val="000000"/>
                <w:spacing w:val="4"/>
                <w:lang w:eastAsia="en-AU"/>
              </w:rPr>
              <w:t xml:space="preserve">A statutory entity existing under the </w:t>
            </w:r>
            <w:r>
              <w:rPr>
                <w:rFonts w:cs="Arial"/>
                <w:i/>
                <w:iCs/>
                <w:color w:val="000000"/>
                <w:spacing w:val="4"/>
                <w:lang w:eastAsia="en-AU"/>
              </w:rPr>
              <w:t xml:space="preserve">Housing Act 1983 </w:t>
            </w:r>
            <w:r>
              <w:rPr>
                <w:rFonts w:cs="Arial"/>
                <w:color w:val="000000"/>
                <w:spacing w:val="4"/>
                <w:lang w:eastAsia="en-AU"/>
              </w:rPr>
              <w:t>responsible for all public, community and home finance programs funded by the</w:t>
            </w:r>
          </w:p>
          <w:p w14:paraId="1DF40E96" w14:textId="77777777" w:rsidR="007126DB" w:rsidRDefault="007126DB" w:rsidP="002E3F3A">
            <w:pPr>
              <w:pStyle w:val="Normal2"/>
              <w:rPr>
                <w:rFonts w:cs="Arial"/>
                <w:color w:val="000000"/>
                <w:spacing w:val="4"/>
              </w:rPr>
            </w:pPr>
            <w:r w:rsidRPr="005B336D">
              <w:rPr>
                <w:rFonts w:cs="Arial"/>
                <w:color w:val="000000"/>
                <w:spacing w:val="4"/>
                <w:lang w:eastAsia="en-AU"/>
              </w:rPr>
              <w:t>Department of Families, Fairness and Housing (DFFH) </w:t>
            </w:r>
          </w:p>
        </w:tc>
      </w:tr>
      <w:tr w:rsidR="007126DB" w14:paraId="1A85E3C7"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5865072E" w14:textId="77777777" w:rsidR="007126DB" w:rsidRDefault="007126DB" w:rsidP="002E3F3A">
            <w:pPr>
              <w:pStyle w:val="Normal2"/>
              <w:rPr>
                <w:rFonts w:cs="Arial"/>
                <w:color w:val="000000"/>
                <w:spacing w:val="4"/>
              </w:rPr>
            </w:pPr>
            <w:r>
              <w:rPr>
                <w:rFonts w:cs="Arial"/>
                <w:color w:val="000000"/>
                <w:spacing w:val="4"/>
              </w:rPr>
              <w:t>Discounted Market Rent</w:t>
            </w:r>
          </w:p>
        </w:tc>
        <w:tc>
          <w:tcPr>
            <w:tcW w:w="5679" w:type="dxa"/>
            <w:tcBorders>
              <w:top w:val="single" w:sz="4" w:space="0" w:color="000000"/>
              <w:left w:val="single" w:sz="4" w:space="0" w:color="000000"/>
              <w:bottom w:val="single" w:sz="4" w:space="0" w:color="000000"/>
              <w:right w:val="single" w:sz="4" w:space="0" w:color="000000"/>
            </w:tcBorders>
          </w:tcPr>
          <w:p w14:paraId="36D167BF" w14:textId="77777777" w:rsidR="007126DB" w:rsidRDefault="007126DB" w:rsidP="002E3F3A">
            <w:pPr>
              <w:pStyle w:val="Normal2"/>
              <w:rPr>
                <w:rFonts w:cs="Arial"/>
                <w:color w:val="000000"/>
                <w:spacing w:val="4"/>
                <w:lang w:eastAsia="en-AU"/>
              </w:rPr>
            </w:pPr>
            <w:r>
              <w:rPr>
                <w:rFonts w:cs="Arial"/>
                <w:color w:val="000000"/>
                <w:spacing w:val="4"/>
                <w:lang w:eastAsia="en-AU"/>
              </w:rPr>
              <w:t xml:space="preserve">The discounted market rent (DMR) is 74.99% of the </w:t>
            </w:r>
            <w:r>
              <w:rPr>
                <w:rFonts w:cs="Arial"/>
                <w:color w:val="000000"/>
                <w:spacing w:val="4"/>
                <w:lang w:eastAsia="en-AU"/>
              </w:rPr>
              <w:lastRenderedPageBreak/>
              <w:t>market rent.</w:t>
            </w:r>
          </w:p>
        </w:tc>
      </w:tr>
      <w:tr w:rsidR="007126DB" w14:paraId="351C1F84"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1D801785" w14:textId="77777777" w:rsidR="007126DB" w:rsidRDefault="007126DB" w:rsidP="002E3F3A">
            <w:pPr>
              <w:pStyle w:val="Normal2"/>
              <w:rPr>
                <w:rFonts w:cs="Arial"/>
                <w:color w:val="000000"/>
                <w:spacing w:val="4"/>
              </w:rPr>
            </w:pPr>
            <w:r>
              <w:rPr>
                <w:rFonts w:cs="Arial"/>
                <w:color w:val="000000"/>
                <w:spacing w:val="4"/>
              </w:rPr>
              <w:lastRenderedPageBreak/>
              <w:t xml:space="preserve">Family violence </w:t>
            </w:r>
          </w:p>
        </w:tc>
        <w:tc>
          <w:tcPr>
            <w:tcW w:w="5679" w:type="dxa"/>
            <w:tcBorders>
              <w:top w:val="single" w:sz="4" w:space="0" w:color="000000"/>
              <w:left w:val="single" w:sz="4" w:space="0" w:color="000000"/>
              <w:bottom w:val="single" w:sz="4" w:space="0" w:color="000000"/>
              <w:right w:val="single" w:sz="4" w:space="0" w:color="000000"/>
            </w:tcBorders>
          </w:tcPr>
          <w:p w14:paraId="56131511" w14:textId="77777777" w:rsidR="007126DB" w:rsidRDefault="007126DB" w:rsidP="002E3F3A">
            <w:pPr>
              <w:pStyle w:val="Normal2"/>
              <w:rPr>
                <w:rFonts w:cs="Arial"/>
                <w:color w:val="000000"/>
                <w:spacing w:val="4"/>
              </w:rPr>
            </w:pPr>
            <w:r>
              <w:rPr>
                <w:rFonts w:cs="Arial"/>
                <w:color w:val="000000"/>
                <w:spacing w:val="4"/>
              </w:rPr>
              <w:t xml:space="preserve">Family Violence is defined in </w:t>
            </w:r>
            <w:r>
              <w:rPr>
                <w:rFonts w:cs="Arial"/>
                <w:i/>
                <w:color w:val="000000"/>
                <w:spacing w:val="4"/>
              </w:rPr>
              <w:t>the Family Violence and Protection Act 2008</w:t>
            </w:r>
            <w:r>
              <w:rPr>
                <w:rFonts w:cs="Arial"/>
                <w:color w:val="000000"/>
                <w:spacing w:val="4"/>
              </w:rPr>
              <w:t xml:space="preserve"> as violent, threatening or other behaviour by a person that coerces or controls a member of the person’s family (the </w:t>
            </w:r>
            <w:r>
              <w:rPr>
                <w:rFonts w:cs="Arial"/>
                <w:bCs/>
                <w:iCs/>
                <w:color w:val="000000"/>
                <w:spacing w:val="4"/>
              </w:rPr>
              <w:t>family member</w:t>
            </w:r>
            <w:r>
              <w:rPr>
                <w:rFonts w:cs="Arial"/>
                <w:color w:val="000000"/>
                <w:spacing w:val="4"/>
              </w:rPr>
              <w:t xml:space="preserve">) or causes the family member to be fearful. </w:t>
            </w:r>
          </w:p>
        </w:tc>
      </w:tr>
      <w:tr w:rsidR="007126DB" w14:paraId="73FAF0FB"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12F1EBD7" w14:textId="77777777" w:rsidR="007126DB" w:rsidRDefault="007126DB" w:rsidP="002E3F3A">
            <w:pPr>
              <w:pStyle w:val="Normal2"/>
              <w:rPr>
                <w:rFonts w:cs="Arial"/>
                <w:spacing w:val="4"/>
              </w:rPr>
            </w:pPr>
            <w:r>
              <w:rPr>
                <w:rFonts w:cs="Arial"/>
                <w:spacing w:val="4"/>
              </w:rPr>
              <w:t>General Lease / Managed Service Agreement</w:t>
            </w:r>
          </w:p>
        </w:tc>
        <w:tc>
          <w:tcPr>
            <w:tcW w:w="5679" w:type="dxa"/>
            <w:tcBorders>
              <w:top w:val="single" w:sz="4" w:space="0" w:color="000000"/>
              <w:left w:val="single" w:sz="4" w:space="0" w:color="000000"/>
              <w:bottom w:val="single" w:sz="4" w:space="0" w:color="000000"/>
              <w:right w:val="single" w:sz="4" w:space="0" w:color="000000"/>
            </w:tcBorders>
          </w:tcPr>
          <w:p w14:paraId="65F14542" w14:textId="77777777" w:rsidR="007126DB" w:rsidRDefault="007126DB" w:rsidP="002E3F3A">
            <w:pPr>
              <w:pStyle w:val="Normal2"/>
              <w:rPr>
                <w:rFonts w:cs="Arial"/>
                <w:spacing w:val="4"/>
              </w:rPr>
            </w:pPr>
            <w:r>
              <w:rPr>
                <w:rFonts w:cs="Arial"/>
                <w:spacing w:val="4"/>
              </w:rPr>
              <w:t>Properties owned by Homes Victoria, leased to Community Housing Organisation and managed under the terms of that lease.</w:t>
            </w:r>
          </w:p>
        </w:tc>
      </w:tr>
      <w:tr w:rsidR="007126DB" w14:paraId="2DDE29F6"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7CFBBE9F" w14:textId="77777777" w:rsidR="007126DB" w:rsidRDefault="007126DB" w:rsidP="002E3F3A">
            <w:pPr>
              <w:pStyle w:val="Normal2"/>
              <w:rPr>
                <w:rFonts w:cs="Arial"/>
                <w:spacing w:val="4"/>
              </w:rPr>
            </w:pPr>
            <w:r>
              <w:rPr>
                <w:rFonts w:cs="Arial"/>
                <w:spacing w:val="4"/>
              </w:rPr>
              <w:t>Household members</w:t>
            </w:r>
          </w:p>
        </w:tc>
        <w:tc>
          <w:tcPr>
            <w:tcW w:w="5679" w:type="dxa"/>
            <w:tcBorders>
              <w:top w:val="single" w:sz="4" w:space="0" w:color="000000"/>
              <w:left w:val="single" w:sz="4" w:space="0" w:color="000000"/>
              <w:bottom w:val="single" w:sz="4" w:space="0" w:color="000000"/>
              <w:right w:val="single" w:sz="4" w:space="0" w:color="000000"/>
            </w:tcBorders>
          </w:tcPr>
          <w:p w14:paraId="60CCDA43" w14:textId="77777777" w:rsidR="007126DB" w:rsidRDefault="007126DB" w:rsidP="002E3F3A">
            <w:pPr>
              <w:pStyle w:val="Normal2"/>
              <w:rPr>
                <w:rFonts w:cs="Arial"/>
                <w:spacing w:val="4"/>
              </w:rPr>
            </w:pPr>
            <w:r>
              <w:rPr>
                <w:rFonts w:cs="Arial"/>
                <w:spacing w:val="4"/>
              </w:rPr>
              <w:t>People who are included in the application as people who will reside in the household if allocated to social housing but are not the primary applicant.</w:t>
            </w:r>
          </w:p>
        </w:tc>
      </w:tr>
      <w:tr w:rsidR="007126DB" w14:paraId="13745008"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3EFC923E" w14:textId="77777777" w:rsidR="007126DB" w:rsidRDefault="007126DB" w:rsidP="002E3F3A">
            <w:pPr>
              <w:pStyle w:val="Normal2"/>
              <w:rPr>
                <w:rFonts w:cs="Arial"/>
                <w:color w:val="000000"/>
                <w:spacing w:val="4"/>
              </w:rPr>
            </w:pPr>
            <w:r>
              <w:rPr>
                <w:rFonts w:cs="Arial"/>
                <w:color w:val="000000"/>
                <w:spacing w:val="4"/>
              </w:rPr>
              <w:t>Household Income</w:t>
            </w:r>
          </w:p>
        </w:tc>
        <w:tc>
          <w:tcPr>
            <w:tcW w:w="5679" w:type="dxa"/>
            <w:tcBorders>
              <w:top w:val="single" w:sz="4" w:space="0" w:color="000000"/>
              <w:left w:val="single" w:sz="4" w:space="0" w:color="000000"/>
              <w:bottom w:val="single" w:sz="4" w:space="0" w:color="000000"/>
              <w:right w:val="single" w:sz="4" w:space="0" w:color="000000"/>
            </w:tcBorders>
          </w:tcPr>
          <w:p w14:paraId="7A83201F" w14:textId="77777777" w:rsidR="007126DB" w:rsidRDefault="007126DB" w:rsidP="002E3F3A">
            <w:pPr>
              <w:pStyle w:val="Normal2"/>
              <w:rPr>
                <w:rFonts w:cs="Arial"/>
                <w:color w:val="000000"/>
                <w:spacing w:val="4"/>
              </w:rPr>
            </w:pPr>
            <w:r>
              <w:rPr>
                <w:rFonts w:cs="Arial"/>
                <w:color w:val="000000"/>
                <w:spacing w:val="4"/>
              </w:rPr>
              <w:t>The combined income of a households.</w:t>
            </w:r>
          </w:p>
        </w:tc>
      </w:tr>
      <w:tr w:rsidR="007126DB" w14:paraId="33D4BBAA"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702F05AA" w14:textId="77777777" w:rsidR="007126DB" w:rsidRDefault="007126DB" w:rsidP="002E3F3A">
            <w:pPr>
              <w:pStyle w:val="Normal2"/>
              <w:rPr>
                <w:rFonts w:cs="Arial"/>
                <w:color w:val="000000"/>
                <w:spacing w:val="4"/>
              </w:rPr>
            </w:pPr>
            <w:r>
              <w:rPr>
                <w:rFonts w:cs="Arial"/>
                <w:color w:val="000000"/>
                <w:spacing w:val="4"/>
              </w:rPr>
              <w:t>Housing type</w:t>
            </w:r>
          </w:p>
        </w:tc>
        <w:tc>
          <w:tcPr>
            <w:tcW w:w="5679" w:type="dxa"/>
            <w:tcBorders>
              <w:top w:val="single" w:sz="4" w:space="0" w:color="000000"/>
              <w:left w:val="single" w:sz="4" w:space="0" w:color="000000"/>
              <w:bottom w:val="single" w:sz="4" w:space="0" w:color="000000"/>
              <w:right w:val="single" w:sz="4" w:space="0" w:color="000000"/>
            </w:tcBorders>
          </w:tcPr>
          <w:p w14:paraId="56F944E4" w14:textId="77777777" w:rsidR="007126DB" w:rsidRDefault="007126DB" w:rsidP="002E3F3A">
            <w:pPr>
              <w:pStyle w:val="Normal2"/>
              <w:rPr>
                <w:rFonts w:cs="Arial"/>
                <w:color w:val="000000"/>
                <w:spacing w:val="4"/>
              </w:rPr>
            </w:pPr>
            <w:r>
              <w:rPr>
                <w:rFonts w:cs="Arial"/>
                <w:color w:val="000000"/>
                <w:spacing w:val="4"/>
              </w:rPr>
              <w:t>The bedroom size, construction type and whether the property is a stand-alone house, a townhouse or located in medium or high-density estate.</w:t>
            </w:r>
          </w:p>
        </w:tc>
      </w:tr>
      <w:tr w:rsidR="007126DB" w14:paraId="034D9D25"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033044A0" w14:textId="77777777" w:rsidR="007126DB" w:rsidRDefault="007126DB" w:rsidP="002E3F3A">
            <w:pPr>
              <w:pStyle w:val="Normal2"/>
              <w:rPr>
                <w:rFonts w:cs="Arial"/>
                <w:color w:val="000000"/>
                <w:spacing w:val="4"/>
              </w:rPr>
            </w:pPr>
            <w:r>
              <w:rPr>
                <w:rFonts w:cs="Arial"/>
                <w:color w:val="000000"/>
                <w:spacing w:val="4"/>
              </w:rPr>
              <w:t>Independent income</w:t>
            </w:r>
          </w:p>
        </w:tc>
        <w:tc>
          <w:tcPr>
            <w:tcW w:w="5679" w:type="dxa"/>
            <w:tcBorders>
              <w:top w:val="single" w:sz="4" w:space="0" w:color="000000"/>
              <w:left w:val="single" w:sz="4" w:space="0" w:color="000000"/>
              <w:bottom w:val="single" w:sz="4" w:space="0" w:color="000000"/>
              <w:right w:val="single" w:sz="4" w:space="0" w:color="000000"/>
            </w:tcBorders>
          </w:tcPr>
          <w:p w14:paraId="6DC555C2" w14:textId="77777777" w:rsidR="007126DB" w:rsidRDefault="007126DB" w:rsidP="002E3F3A">
            <w:pPr>
              <w:pStyle w:val="Normal2"/>
              <w:rPr>
                <w:rFonts w:cs="Arial"/>
                <w:spacing w:val="4"/>
              </w:rPr>
            </w:pPr>
            <w:r>
              <w:rPr>
                <w:rFonts w:cs="Arial"/>
                <w:spacing w:val="4"/>
              </w:rPr>
              <w:t xml:space="preserve">An income paid directly to the person for their use, and which is not subject to a parental income or parental assets test. </w:t>
            </w:r>
          </w:p>
          <w:p w14:paraId="4677F70E" w14:textId="77777777" w:rsidR="007126DB" w:rsidRDefault="007126DB" w:rsidP="002E3F3A">
            <w:pPr>
              <w:pStyle w:val="Normal2"/>
              <w:rPr>
                <w:rFonts w:cs="Arial"/>
                <w:color w:val="000000"/>
                <w:spacing w:val="4"/>
              </w:rPr>
            </w:pPr>
            <w:r>
              <w:rPr>
                <w:rFonts w:cs="Arial"/>
                <w:color w:val="000000"/>
                <w:spacing w:val="4"/>
              </w:rPr>
              <w:t>Where an applicant subject to the Centrelink two year waiting period is receiving income from wages, self-employment or child related payments, they are not considered to be in receipt of an independent income for social housing eligibility purposes.</w:t>
            </w:r>
          </w:p>
        </w:tc>
      </w:tr>
      <w:tr w:rsidR="007126DB" w14:paraId="2A23B2D0"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53924BBD" w14:textId="77777777" w:rsidR="007126DB" w:rsidRDefault="007126DB" w:rsidP="002E3F3A">
            <w:pPr>
              <w:pStyle w:val="Normal2"/>
              <w:rPr>
                <w:rFonts w:cs="Arial"/>
                <w:color w:val="000000"/>
                <w:spacing w:val="4"/>
              </w:rPr>
            </w:pPr>
            <w:r>
              <w:rPr>
                <w:rFonts w:cs="Arial"/>
                <w:color w:val="000000"/>
                <w:spacing w:val="4"/>
              </w:rPr>
              <w:t>Market Rent</w:t>
            </w:r>
          </w:p>
        </w:tc>
        <w:tc>
          <w:tcPr>
            <w:tcW w:w="5679" w:type="dxa"/>
            <w:tcBorders>
              <w:top w:val="single" w:sz="4" w:space="0" w:color="000000"/>
              <w:left w:val="single" w:sz="4" w:space="0" w:color="000000"/>
              <w:bottom w:val="single" w:sz="4" w:space="0" w:color="000000"/>
              <w:right w:val="single" w:sz="4" w:space="0" w:color="000000"/>
            </w:tcBorders>
          </w:tcPr>
          <w:p w14:paraId="2E706D73" w14:textId="77777777" w:rsidR="007126DB" w:rsidRPr="004926AA" w:rsidRDefault="007126DB" w:rsidP="002E3F3A">
            <w:pPr>
              <w:pStyle w:val="Normal2"/>
              <w:rPr>
                <w:rFonts w:cs="Arial"/>
                <w:spacing w:val="4"/>
              </w:rPr>
            </w:pPr>
            <w:r w:rsidRPr="004926AA">
              <w:rPr>
                <w:rFonts w:cs="Arial"/>
                <w:lang w:val="en" w:eastAsia="en-AU"/>
              </w:rPr>
              <w:t xml:space="preserve">The market rent of a property is what </w:t>
            </w:r>
            <w:r>
              <w:rPr>
                <w:rFonts w:cs="Arial"/>
                <w:lang w:val="en" w:eastAsia="en-AU"/>
              </w:rPr>
              <w:t>a similar</w:t>
            </w:r>
            <w:r w:rsidRPr="004926AA">
              <w:rPr>
                <w:rFonts w:cs="Arial"/>
                <w:lang w:val="en" w:eastAsia="en-AU"/>
              </w:rPr>
              <w:t xml:space="preserve"> property could rent for in the private market</w:t>
            </w:r>
            <w:r>
              <w:rPr>
                <w:rFonts w:cs="Arial"/>
                <w:lang w:val="en" w:eastAsia="en-AU"/>
              </w:rPr>
              <w:t xml:space="preserve"> in the same or similar location</w:t>
            </w:r>
          </w:p>
        </w:tc>
      </w:tr>
      <w:tr w:rsidR="007126DB" w14:paraId="1636A00B"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368FADD4" w14:textId="77777777" w:rsidR="007126DB" w:rsidRDefault="007126DB" w:rsidP="002E3F3A">
            <w:pPr>
              <w:pStyle w:val="Normal2"/>
              <w:rPr>
                <w:rFonts w:cs="Arial"/>
                <w:color w:val="000000"/>
                <w:spacing w:val="4"/>
              </w:rPr>
            </w:pPr>
            <w:r>
              <w:rPr>
                <w:rFonts w:cs="Arial"/>
                <w:color w:val="000000"/>
                <w:spacing w:val="4"/>
              </w:rPr>
              <w:t>Outstanding charges</w:t>
            </w:r>
          </w:p>
        </w:tc>
        <w:tc>
          <w:tcPr>
            <w:tcW w:w="5679" w:type="dxa"/>
            <w:tcBorders>
              <w:top w:val="single" w:sz="4" w:space="0" w:color="000000"/>
              <w:left w:val="single" w:sz="4" w:space="0" w:color="000000"/>
              <w:bottom w:val="single" w:sz="4" w:space="0" w:color="000000"/>
              <w:right w:val="single" w:sz="4" w:space="0" w:color="000000"/>
            </w:tcBorders>
          </w:tcPr>
          <w:p w14:paraId="410C76CE" w14:textId="77777777" w:rsidR="007126DB" w:rsidRDefault="007126DB" w:rsidP="002E3F3A">
            <w:pPr>
              <w:pStyle w:val="Normal2"/>
              <w:rPr>
                <w:rFonts w:cs="Arial"/>
                <w:color w:val="000000"/>
                <w:spacing w:val="4"/>
              </w:rPr>
            </w:pPr>
            <w:r>
              <w:rPr>
                <w:rFonts w:cs="Arial"/>
                <w:color w:val="000000"/>
                <w:spacing w:val="4"/>
              </w:rPr>
              <w:t>Costs that have been charged against a tenancy that have not yet been paid but are past their due date.</w:t>
            </w:r>
          </w:p>
        </w:tc>
      </w:tr>
      <w:tr w:rsidR="007126DB" w14:paraId="53CF7E53"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48A68C5B" w14:textId="77777777" w:rsidR="007126DB" w:rsidRDefault="007126DB" w:rsidP="002E3F3A">
            <w:pPr>
              <w:pStyle w:val="Normal2"/>
              <w:rPr>
                <w:rFonts w:cs="Arial"/>
                <w:color w:val="000000"/>
                <w:spacing w:val="4"/>
              </w:rPr>
            </w:pPr>
            <w:r>
              <w:rPr>
                <w:rFonts w:cs="Arial"/>
                <w:color w:val="000000"/>
                <w:spacing w:val="4"/>
              </w:rPr>
              <w:t>Primary applicant</w:t>
            </w:r>
          </w:p>
        </w:tc>
        <w:tc>
          <w:tcPr>
            <w:tcW w:w="5679" w:type="dxa"/>
            <w:tcBorders>
              <w:top w:val="single" w:sz="4" w:space="0" w:color="000000"/>
              <w:left w:val="single" w:sz="4" w:space="0" w:color="000000"/>
              <w:bottom w:val="single" w:sz="4" w:space="0" w:color="000000"/>
              <w:right w:val="single" w:sz="4" w:space="0" w:color="000000"/>
            </w:tcBorders>
          </w:tcPr>
          <w:p w14:paraId="3863480A" w14:textId="77777777" w:rsidR="007126DB" w:rsidRDefault="007126DB" w:rsidP="002E3F3A">
            <w:pPr>
              <w:pStyle w:val="Normal2"/>
              <w:rPr>
                <w:rFonts w:cs="Arial"/>
                <w:spacing w:val="4"/>
              </w:rPr>
            </w:pPr>
            <w:r>
              <w:rPr>
                <w:rFonts w:cs="Arial"/>
                <w:spacing w:val="4"/>
              </w:rPr>
              <w:t>The person who applies for transitional housing and whose name is provided under the Declaration at the end of the form.  The other parties on the application are called household members.</w:t>
            </w:r>
          </w:p>
        </w:tc>
      </w:tr>
      <w:tr w:rsidR="007126DB" w14:paraId="6E972272"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5A2E160F" w14:textId="77777777" w:rsidR="007126DB" w:rsidRDefault="007126DB" w:rsidP="002E3F3A">
            <w:pPr>
              <w:pStyle w:val="Normal2"/>
              <w:rPr>
                <w:rFonts w:cs="Arial"/>
                <w:color w:val="000000"/>
                <w:spacing w:val="4"/>
              </w:rPr>
            </w:pPr>
            <w:r>
              <w:rPr>
                <w:rFonts w:cs="Arial"/>
                <w:color w:val="000000"/>
                <w:spacing w:val="4"/>
              </w:rPr>
              <w:t xml:space="preserve">Property </w:t>
            </w:r>
          </w:p>
        </w:tc>
        <w:tc>
          <w:tcPr>
            <w:tcW w:w="5679" w:type="dxa"/>
            <w:tcBorders>
              <w:top w:val="single" w:sz="4" w:space="0" w:color="000000"/>
              <w:left w:val="single" w:sz="4" w:space="0" w:color="000000"/>
              <w:bottom w:val="single" w:sz="4" w:space="0" w:color="000000"/>
              <w:right w:val="single" w:sz="4" w:space="0" w:color="000000"/>
            </w:tcBorders>
          </w:tcPr>
          <w:p w14:paraId="35112A79" w14:textId="77777777" w:rsidR="007126DB" w:rsidRDefault="007126DB" w:rsidP="002E3F3A">
            <w:pPr>
              <w:pStyle w:val="Normal2"/>
              <w:rPr>
                <w:rFonts w:cs="Arial"/>
                <w:color w:val="000000"/>
                <w:spacing w:val="4"/>
              </w:rPr>
            </w:pPr>
            <w:r>
              <w:rPr>
                <w:rFonts w:cs="Arial"/>
                <w:color w:val="000000"/>
                <w:spacing w:val="4"/>
              </w:rPr>
              <w:t>A dwelling such as a house, unit or apartment</w:t>
            </w:r>
          </w:p>
        </w:tc>
      </w:tr>
      <w:tr w:rsidR="007126DB" w14:paraId="72C15671"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37115BFC" w14:textId="77777777" w:rsidR="007126DB" w:rsidRDefault="007126DB" w:rsidP="002E3F3A">
            <w:pPr>
              <w:pStyle w:val="Normal2"/>
              <w:rPr>
                <w:rFonts w:cs="Arial"/>
                <w:color w:val="000000"/>
                <w:spacing w:val="4"/>
              </w:rPr>
            </w:pPr>
            <w:r>
              <w:rPr>
                <w:rFonts w:cs="Arial"/>
                <w:color w:val="000000"/>
                <w:spacing w:val="4"/>
              </w:rPr>
              <w:t>Public housing</w:t>
            </w:r>
          </w:p>
        </w:tc>
        <w:tc>
          <w:tcPr>
            <w:tcW w:w="5679" w:type="dxa"/>
            <w:tcBorders>
              <w:top w:val="single" w:sz="4" w:space="0" w:color="000000"/>
              <w:left w:val="single" w:sz="4" w:space="0" w:color="000000"/>
              <w:bottom w:val="single" w:sz="4" w:space="0" w:color="000000"/>
              <w:right w:val="single" w:sz="4" w:space="0" w:color="000000"/>
            </w:tcBorders>
          </w:tcPr>
          <w:p w14:paraId="3002B408" w14:textId="77777777" w:rsidR="007126DB" w:rsidRDefault="007126DB" w:rsidP="002E3F3A">
            <w:pPr>
              <w:pStyle w:val="Normal2"/>
              <w:rPr>
                <w:rFonts w:cs="Arial"/>
                <w:color w:val="000000"/>
                <w:spacing w:val="4"/>
              </w:rPr>
            </w:pPr>
            <w:r>
              <w:rPr>
                <w:rFonts w:cs="Arial"/>
                <w:color w:val="000000"/>
                <w:spacing w:val="4"/>
              </w:rPr>
              <w:t xml:space="preserve">Long-term rental housing managed by </w:t>
            </w:r>
            <w:r w:rsidRPr="005B336D">
              <w:rPr>
                <w:rFonts w:cs="Arial"/>
                <w:color w:val="000000"/>
                <w:spacing w:val="4"/>
              </w:rPr>
              <w:t>Department of Families, Fairness and Housing (DFFH</w:t>
            </w:r>
            <w:proofErr w:type="gramStart"/>
            <w:r w:rsidRPr="005B336D">
              <w:rPr>
                <w:rFonts w:cs="Arial"/>
                <w:color w:val="000000"/>
                <w:spacing w:val="4"/>
              </w:rPr>
              <w:t>) </w:t>
            </w:r>
            <w:r>
              <w:rPr>
                <w:rFonts w:cs="Arial"/>
                <w:color w:val="000000"/>
                <w:spacing w:val="4"/>
              </w:rPr>
              <w:t>.</w:t>
            </w:r>
            <w:proofErr w:type="gramEnd"/>
            <w:r>
              <w:rPr>
                <w:rFonts w:cs="Arial"/>
                <w:color w:val="000000"/>
                <w:spacing w:val="4"/>
              </w:rPr>
              <w:t xml:space="preserve"> It is for people on low incomes that are most in need, especially those who have recently experienced homelessness or have other </w:t>
            </w:r>
            <w:r>
              <w:rPr>
                <w:rFonts w:cs="Arial"/>
                <w:color w:val="000000"/>
                <w:spacing w:val="4"/>
              </w:rPr>
              <w:lastRenderedPageBreak/>
              <w:t>special needs.</w:t>
            </w:r>
          </w:p>
        </w:tc>
      </w:tr>
      <w:tr w:rsidR="007126DB" w14:paraId="5BC032E0"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7E1E2E73" w14:textId="77777777" w:rsidR="007126DB" w:rsidRDefault="007126DB" w:rsidP="002E3F3A">
            <w:pPr>
              <w:pStyle w:val="Normal2"/>
              <w:rPr>
                <w:rFonts w:cs="Arial"/>
                <w:color w:val="000000"/>
                <w:spacing w:val="4"/>
              </w:rPr>
            </w:pPr>
            <w:r>
              <w:rPr>
                <w:rFonts w:cs="Arial"/>
                <w:color w:val="000000"/>
                <w:spacing w:val="4"/>
              </w:rPr>
              <w:lastRenderedPageBreak/>
              <w:t>Registered Housing Agency</w:t>
            </w:r>
          </w:p>
        </w:tc>
        <w:tc>
          <w:tcPr>
            <w:tcW w:w="5679" w:type="dxa"/>
            <w:tcBorders>
              <w:top w:val="single" w:sz="4" w:space="0" w:color="000000"/>
              <w:left w:val="single" w:sz="4" w:space="0" w:color="000000"/>
              <w:bottom w:val="single" w:sz="4" w:space="0" w:color="000000"/>
              <w:right w:val="single" w:sz="4" w:space="0" w:color="000000"/>
            </w:tcBorders>
          </w:tcPr>
          <w:p w14:paraId="66E8E64A" w14:textId="77777777" w:rsidR="007126DB" w:rsidRDefault="007126DB" w:rsidP="002E3F3A">
            <w:pPr>
              <w:pStyle w:val="Normal2"/>
              <w:rPr>
                <w:rFonts w:cs="Arial"/>
                <w:color w:val="000000"/>
                <w:spacing w:val="4"/>
              </w:rPr>
            </w:pPr>
            <w:r>
              <w:rPr>
                <w:rFonts w:cs="Arial"/>
                <w:color w:val="000000"/>
                <w:spacing w:val="4"/>
              </w:rPr>
              <w:t xml:space="preserve">Not-for-profit organisations that own, manage and develop affordable rental housing for people with low and moderate incomes or special needs. </w:t>
            </w:r>
          </w:p>
          <w:p w14:paraId="0FD7901C" w14:textId="77777777" w:rsidR="007126DB" w:rsidRDefault="007126DB" w:rsidP="002E3F3A">
            <w:pPr>
              <w:pStyle w:val="Normal2"/>
              <w:rPr>
                <w:rFonts w:cs="Arial"/>
                <w:color w:val="000000"/>
                <w:spacing w:val="4"/>
              </w:rPr>
            </w:pPr>
            <w:r>
              <w:rPr>
                <w:rFonts w:cs="Arial"/>
                <w:color w:val="000000"/>
                <w:spacing w:val="4"/>
              </w:rPr>
              <w:t xml:space="preserve">These community housing organisations are registered housing agencies as either housing associations or housing providers. They are regulated by the Registrar of Housing Agencies to ensure they provide a quality service, keep housing in good condition and are accountable for the public funding they receive. </w:t>
            </w:r>
          </w:p>
        </w:tc>
      </w:tr>
      <w:tr w:rsidR="007126DB" w14:paraId="50A26057"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776C97C2" w14:textId="77777777" w:rsidR="007126DB" w:rsidRDefault="007126DB" w:rsidP="002E3F3A">
            <w:pPr>
              <w:pStyle w:val="Normal2"/>
              <w:rPr>
                <w:rFonts w:cs="Arial"/>
                <w:color w:val="000000"/>
                <w:spacing w:val="4"/>
              </w:rPr>
            </w:pPr>
            <w:r>
              <w:rPr>
                <w:rFonts w:cs="Arial"/>
                <w:color w:val="000000"/>
                <w:spacing w:val="4"/>
              </w:rPr>
              <w:t>Rent Reviews</w:t>
            </w:r>
          </w:p>
        </w:tc>
        <w:tc>
          <w:tcPr>
            <w:tcW w:w="5679" w:type="dxa"/>
            <w:tcBorders>
              <w:top w:val="single" w:sz="4" w:space="0" w:color="000000"/>
              <w:left w:val="single" w:sz="4" w:space="0" w:color="000000"/>
              <w:bottom w:val="single" w:sz="4" w:space="0" w:color="000000"/>
              <w:right w:val="single" w:sz="4" w:space="0" w:color="000000"/>
            </w:tcBorders>
          </w:tcPr>
          <w:p w14:paraId="1C06EC42" w14:textId="77777777" w:rsidR="007126DB" w:rsidRDefault="007126DB" w:rsidP="002E3F3A">
            <w:pPr>
              <w:pStyle w:val="Normal2"/>
              <w:rPr>
                <w:rFonts w:cs="Arial"/>
                <w:color w:val="000000"/>
                <w:spacing w:val="4"/>
              </w:rPr>
            </w:pPr>
            <w:r>
              <w:rPr>
                <w:rFonts w:cs="Arial"/>
                <w:color w:val="000000"/>
                <w:spacing w:val="4"/>
              </w:rPr>
              <w:t>Market Rent reviews are held annually. A rebated rent can be adjusted at any time, usually 6 monthly or as incomes change.</w:t>
            </w:r>
          </w:p>
        </w:tc>
      </w:tr>
      <w:tr w:rsidR="007126DB" w14:paraId="2A6D5FBF"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0056C493" w14:textId="77777777" w:rsidR="007126DB" w:rsidRDefault="007126DB" w:rsidP="002E3F3A">
            <w:pPr>
              <w:pStyle w:val="Normal2"/>
              <w:rPr>
                <w:rFonts w:cs="Arial"/>
                <w:color w:val="000000"/>
                <w:spacing w:val="4"/>
              </w:rPr>
            </w:pPr>
            <w:r>
              <w:rPr>
                <w:rFonts w:cs="Arial"/>
                <w:color w:val="000000"/>
                <w:spacing w:val="4"/>
              </w:rPr>
              <w:t>Residential Tenancy Agreement</w:t>
            </w:r>
          </w:p>
        </w:tc>
        <w:tc>
          <w:tcPr>
            <w:tcW w:w="5679" w:type="dxa"/>
            <w:tcBorders>
              <w:top w:val="single" w:sz="4" w:space="0" w:color="000000"/>
              <w:left w:val="single" w:sz="4" w:space="0" w:color="000000"/>
              <w:bottom w:val="single" w:sz="4" w:space="0" w:color="000000"/>
              <w:right w:val="single" w:sz="4" w:space="0" w:color="000000"/>
            </w:tcBorders>
          </w:tcPr>
          <w:p w14:paraId="1BBFDC26" w14:textId="77777777" w:rsidR="007126DB" w:rsidRDefault="007126DB" w:rsidP="002E3F3A">
            <w:pPr>
              <w:pStyle w:val="Normal2"/>
              <w:rPr>
                <w:rFonts w:cs="Arial"/>
                <w:color w:val="000000"/>
                <w:spacing w:val="4"/>
              </w:rPr>
            </w:pPr>
            <w:r>
              <w:rPr>
                <w:rFonts w:cs="Arial"/>
                <w:color w:val="000000"/>
                <w:spacing w:val="4"/>
              </w:rPr>
              <w:t>A Residential Rental Agreement under the Residential Tenancies Act 1997 which the rental provider and the renter(s) sign, setting out the rights and responsibilities of the rental provider and those of the renter.</w:t>
            </w:r>
          </w:p>
        </w:tc>
      </w:tr>
      <w:tr w:rsidR="007126DB" w14:paraId="217FF426"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40FEDE41" w14:textId="77777777" w:rsidR="007126DB" w:rsidRDefault="007126DB" w:rsidP="002E3F3A">
            <w:pPr>
              <w:pStyle w:val="Normal2"/>
              <w:rPr>
                <w:rFonts w:cs="Arial"/>
                <w:color w:val="000000"/>
                <w:spacing w:val="4"/>
              </w:rPr>
            </w:pPr>
            <w:r>
              <w:rPr>
                <w:rFonts w:cs="Arial"/>
                <w:color w:val="000000"/>
                <w:spacing w:val="4"/>
              </w:rPr>
              <w:t>Sign up</w:t>
            </w:r>
          </w:p>
        </w:tc>
        <w:tc>
          <w:tcPr>
            <w:tcW w:w="5679" w:type="dxa"/>
            <w:tcBorders>
              <w:top w:val="single" w:sz="4" w:space="0" w:color="000000"/>
              <w:left w:val="single" w:sz="4" w:space="0" w:color="000000"/>
              <w:bottom w:val="single" w:sz="4" w:space="0" w:color="000000"/>
              <w:right w:val="single" w:sz="4" w:space="0" w:color="000000"/>
            </w:tcBorders>
          </w:tcPr>
          <w:p w14:paraId="0CA1427A" w14:textId="77777777" w:rsidR="007126DB" w:rsidRDefault="007126DB" w:rsidP="002E3F3A">
            <w:pPr>
              <w:pStyle w:val="Normal2"/>
              <w:rPr>
                <w:rFonts w:cs="Arial"/>
                <w:color w:val="000000"/>
                <w:spacing w:val="4"/>
              </w:rPr>
            </w:pPr>
            <w:r>
              <w:rPr>
                <w:rFonts w:cs="Arial"/>
                <w:color w:val="000000"/>
                <w:spacing w:val="4"/>
              </w:rPr>
              <w:t>Process where applicant(s) sign a Residential Tenancy Agreement upon entering a tenancy. Following the sign-up, the applicant/s is referred to as the renter.</w:t>
            </w:r>
          </w:p>
        </w:tc>
      </w:tr>
      <w:tr w:rsidR="007126DB" w14:paraId="5449841F"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44C627A0" w14:textId="77777777" w:rsidR="007126DB" w:rsidRDefault="007126DB" w:rsidP="002E3F3A">
            <w:pPr>
              <w:pStyle w:val="Normal2"/>
              <w:rPr>
                <w:rFonts w:cs="Arial"/>
                <w:spacing w:val="4"/>
              </w:rPr>
            </w:pPr>
            <w:r>
              <w:rPr>
                <w:rFonts w:cs="Arial"/>
                <w:spacing w:val="4"/>
              </w:rPr>
              <w:t>Support provider</w:t>
            </w:r>
          </w:p>
        </w:tc>
        <w:tc>
          <w:tcPr>
            <w:tcW w:w="5679" w:type="dxa"/>
            <w:tcBorders>
              <w:top w:val="single" w:sz="4" w:space="0" w:color="000000"/>
              <w:left w:val="single" w:sz="4" w:space="0" w:color="000000"/>
              <w:bottom w:val="single" w:sz="4" w:space="0" w:color="000000"/>
              <w:right w:val="single" w:sz="4" w:space="0" w:color="000000"/>
            </w:tcBorders>
          </w:tcPr>
          <w:p w14:paraId="00EB0C75" w14:textId="77777777" w:rsidR="007126DB" w:rsidRDefault="007126DB" w:rsidP="002E3F3A">
            <w:pPr>
              <w:pStyle w:val="Normal2"/>
              <w:rPr>
                <w:rFonts w:cs="Arial"/>
                <w:spacing w:val="4"/>
              </w:rPr>
            </w:pPr>
            <w:r>
              <w:rPr>
                <w:rFonts w:cs="Arial"/>
                <w:spacing w:val="4"/>
              </w:rPr>
              <w:t>A support provider is a service that delivers support services for people. Services provided range from housing and homelessness services, aged care services, mental health services, drug and alcohol abuse services, health services, maternal and child health services and other services.</w:t>
            </w:r>
          </w:p>
        </w:tc>
      </w:tr>
      <w:tr w:rsidR="007126DB" w14:paraId="19F311FC" w14:textId="77777777" w:rsidTr="002E3F3A">
        <w:tc>
          <w:tcPr>
            <w:tcW w:w="3620" w:type="dxa"/>
            <w:tcBorders>
              <w:top w:val="single" w:sz="4" w:space="0" w:color="000000"/>
              <w:left w:val="single" w:sz="4" w:space="0" w:color="000000"/>
              <w:bottom w:val="single" w:sz="4" w:space="0" w:color="000000"/>
              <w:right w:val="single" w:sz="4" w:space="0" w:color="000000"/>
            </w:tcBorders>
          </w:tcPr>
          <w:p w14:paraId="235E8C21" w14:textId="77777777" w:rsidR="007126DB" w:rsidRDefault="007126DB" w:rsidP="002E3F3A">
            <w:pPr>
              <w:pStyle w:val="Normal2"/>
              <w:rPr>
                <w:rFonts w:cs="Arial"/>
                <w:color w:val="000000"/>
                <w:spacing w:val="4"/>
              </w:rPr>
            </w:pPr>
            <w:r>
              <w:rPr>
                <w:rFonts w:cs="Arial"/>
                <w:color w:val="000000"/>
                <w:spacing w:val="4"/>
              </w:rPr>
              <w:t>Transitional Housing (THM)</w:t>
            </w:r>
          </w:p>
        </w:tc>
        <w:tc>
          <w:tcPr>
            <w:tcW w:w="5679" w:type="dxa"/>
            <w:tcBorders>
              <w:top w:val="single" w:sz="4" w:space="0" w:color="000000"/>
              <w:left w:val="single" w:sz="4" w:space="0" w:color="000000"/>
              <w:bottom w:val="single" w:sz="4" w:space="0" w:color="000000"/>
              <w:right w:val="single" w:sz="4" w:space="0" w:color="000000"/>
            </w:tcBorders>
          </w:tcPr>
          <w:p w14:paraId="7D329E62" w14:textId="77777777" w:rsidR="007126DB" w:rsidRDefault="007126DB" w:rsidP="002E3F3A">
            <w:pPr>
              <w:pStyle w:val="Normal2"/>
              <w:rPr>
                <w:rFonts w:cs="Arial"/>
                <w:spacing w:val="4"/>
              </w:rPr>
            </w:pPr>
            <w:r>
              <w:rPr>
                <w:spacing w:val="4"/>
              </w:rPr>
              <w:t xml:space="preserve">The broad purpose of the THM program is to assist people in housing crisis to make the transition to longer term, secure and sustainable housing. This program provides short to medium term accommodation together with information and referral services and individual support where required. </w:t>
            </w:r>
          </w:p>
        </w:tc>
      </w:tr>
    </w:tbl>
    <w:p w14:paraId="1D05B81B" w14:textId="77777777" w:rsidR="007126DB" w:rsidRDefault="007126DB" w:rsidP="007126DB">
      <w:pPr>
        <w:pStyle w:val="Normal2"/>
      </w:pPr>
    </w:p>
    <w:p w14:paraId="7F74A930" w14:textId="77777777" w:rsidR="007126DB" w:rsidRDefault="007126DB" w:rsidP="007126DB">
      <w:pPr>
        <w:pStyle w:val="Heading1"/>
      </w:pPr>
      <w:bookmarkStart w:id="25" w:name="_Toc476742704"/>
      <w:bookmarkStart w:id="26" w:name="_Toc186464386"/>
      <w:bookmarkStart w:id="27" w:name="_Toc186465627"/>
      <w:bookmarkEnd w:id="25"/>
      <w:r>
        <w:t>Reviewing</w:t>
      </w:r>
      <w:bookmarkEnd w:id="26"/>
      <w:bookmarkEnd w:id="27"/>
    </w:p>
    <w:p w14:paraId="398B9E49" w14:textId="77777777" w:rsidR="007126DB" w:rsidRDefault="007126DB" w:rsidP="007126DB">
      <w:pPr>
        <w:pStyle w:val="Normal2"/>
      </w:pPr>
      <w:r>
        <w:t>Every two years following formal approval or earlier when required by changes in policy, regulation or law.</w:t>
      </w:r>
    </w:p>
    <w:p w14:paraId="3C441622" w14:textId="77777777" w:rsidR="007126DB" w:rsidRDefault="007126DB" w:rsidP="007126DB">
      <w:pPr>
        <w:pStyle w:val="Normal2"/>
      </w:pPr>
    </w:p>
    <w:p w14:paraId="1B11F85C" w14:textId="77777777" w:rsidR="007126DB" w:rsidRDefault="007126DB" w:rsidP="007126DB">
      <w:pPr>
        <w:pStyle w:val="Heading1"/>
      </w:pPr>
      <w:bookmarkStart w:id="28" w:name="_Toc476742705"/>
      <w:bookmarkStart w:id="29" w:name="_Toc186464387"/>
      <w:bookmarkStart w:id="30" w:name="_Toc186465628"/>
      <w:bookmarkEnd w:id="28"/>
      <w:r>
        <w:t>Related Policies and Documents</w:t>
      </w:r>
      <w:bookmarkEnd w:id="29"/>
      <w:bookmarkEnd w:id="30"/>
    </w:p>
    <w:p w14:paraId="1B71AB61" w14:textId="77777777" w:rsidR="007126DB" w:rsidRDefault="007126DB" w:rsidP="007126DB">
      <w:pPr>
        <w:pStyle w:val="Bulleted"/>
        <w:numPr>
          <w:ilvl w:val="0"/>
          <w:numId w:val="39"/>
        </w:numPr>
        <w:tabs>
          <w:tab w:val="left" w:pos="0"/>
        </w:tabs>
        <w:ind w:hanging="720"/>
      </w:pPr>
      <w:r>
        <w:t>WHL Privacy Policy</w:t>
      </w:r>
    </w:p>
    <w:p w14:paraId="72C8666D" w14:textId="77777777" w:rsidR="007126DB" w:rsidRDefault="007126DB" w:rsidP="007126DB">
      <w:pPr>
        <w:pStyle w:val="Bulleted"/>
        <w:numPr>
          <w:ilvl w:val="0"/>
          <w:numId w:val="39"/>
        </w:numPr>
        <w:tabs>
          <w:tab w:val="left" w:pos="0"/>
        </w:tabs>
        <w:ind w:hanging="720"/>
      </w:pPr>
      <w:r>
        <w:t>WHL Conflict of Interest</w:t>
      </w:r>
    </w:p>
    <w:p w14:paraId="0D0E5AAA" w14:textId="77777777" w:rsidR="007126DB" w:rsidRDefault="007126DB" w:rsidP="007126DB">
      <w:pPr>
        <w:pStyle w:val="Bulleted"/>
        <w:numPr>
          <w:ilvl w:val="0"/>
          <w:numId w:val="39"/>
        </w:numPr>
        <w:tabs>
          <w:tab w:val="left" w:pos="0"/>
        </w:tabs>
        <w:ind w:hanging="720"/>
      </w:pPr>
      <w:r>
        <w:lastRenderedPageBreak/>
        <w:t>WHL Renter Sign Up Package</w:t>
      </w:r>
    </w:p>
    <w:p w14:paraId="7AB8D0FE" w14:textId="77777777" w:rsidR="007126DB" w:rsidRDefault="007126DB" w:rsidP="007126DB">
      <w:pPr>
        <w:pStyle w:val="Bulleted"/>
        <w:numPr>
          <w:ilvl w:val="0"/>
          <w:numId w:val="39"/>
        </w:numPr>
        <w:tabs>
          <w:tab w:val="left" w:pos="0"/>
        </w:tabs>
        <w:ind w:hanging="720"/>
      </w:pPr>
      <w:r>
        <w:t>WHL Complaints Policy</w:t>
      </w:r>
    </w:p>
    <w:p w14:paraId="1F36AB0B" w14:textId="77777777" w:rsidR="007126DB" w:rsidRDefault="007126DB" w:rsidP="007126DB">
      <w:pPr>
        <w:pStyle w:val="Bulleted"/>
        <w:numPr>
          <w:ilvl w:val="0"/>
          <w:numId w:val="39"/>
        </w:numPr>
        <w:tabs>
          <w:tab w:val="left" w:pos="0"/>
        </w:tabs>
        <w:ind w:hanging="720"/>
      </w:pPr>
      <w:r>
        <w:t>WHL Hardship policy</w:t>
      </w:r>
    </w:p>
    <w:p w14:paraId="0F4C87C3" w14:textId="77777777" w:rsidR="007126DB" w:rsidRDefault="007126DB" w:rsidP="007126DB">
      <w:pPr>
        <w:pStyle w:val="Bulleted"/>
        <w:numPr>
          <w:ilvl w:val="0"/>
          <w:numId w:val="39"/>
        </w:numPr>
        <w:tabs>
          <w:tab w:val="left" w:pos="0"/>
        </w:tabs>
        <w:ind w:hanging="720"/>
      </w:pPr>
      <w:r>
        <w:t>Renter Rights &amp; Participation Policy</w:t>
      </w:r>
    </w:p>
    <w:p w14:paraId="0600F140" w14:textId="77777777" w:rsidR="007126DB" w:rsidRDefault="007126DB" w:rsidP="007126DB">
      <w:pPr>
        <w:pStyle w:val="Bulleted"/>
        <w:numPr>
          <w:ilvl w:val="0"/>
          <w:numId w:val="39"/>
        </w:numPr>
        <w:tabs>
          <w:tab w:val="left" w:pos="0"/>
        </w:tabs>
        <w:ind w:hanging="720"/>
      </w:pPr>
      <w:r>
        <w:t>Rent Review Procedure</w:t>
      </w:r>
    </w:p>
    <w:p w14:paraId="6D33DA92" w14:textId="77777777" w:rsidR="007126DB" w:rsidRDefault="007126DB" w:rsidP="007126DB">
      <w:pPr>
        <w:pStyle w:val="Bulleted"/>
        <w:numPr>
          <w:ilvl w:val="0"/>
          <w:numId w:val="39"/>
        </w:numPr>
        <w:tabs>
          <w:tab w:val="left" w:pos="0"/>
        </w:tabs>
        <w:ind w:hanging="720"/>
      </w:pPr>
      <w:r>
        <w:t>Rent related resources on GEMBA</w:t>
      </w:r>
    </w:p>
    <w:p w14:paraId="79550753" w14:textId="77777777" w:rsidR="007126DB" w:rsidRDefault="007126DB" w:rsidP="007126DB">
      <w:pPr>
        <w:pStyle w:val="Bulleted"/>
        <w:numPr>
          <w:ilvl w:val="0"/>
          <w:numId w:val="39"/>
        </w:numPr>
        <w:tabs>
          <w:tab w:val="left" w:pos="0"/>
        </w:tabs>
        <w:ind w:hanging="720"/>
      </w:pPr>
      <w:r>
        <w:t xml:space="preserve">DFFH Services Guidelines and Conditions of Funding </w:t>
      </w:r>
    </w:p>
    <w:p w14:paraId="4E06F7C2" w14:textId="77777777" w:rsidR="007126DB" w:rsidRPr="004926AA" w:rsidRDefault="007126DB" w:rsidP="007126DB">
      <w:pPr>
        <w:pStyle w:val="Bulleted"/>
        <w:numPr>
          <w:ilvl w:val="0"/>
          <w:numId w:val="39"/>
        </w:numPr>
        <w:tabs>
          <w:tab w:val="left" w:pos="0"/>
        </w:tabs>
        <w:ind w:hanging="720"/>
        <w:rPr>
          <w:rFonts w:eastAsia="Calibri"/>
          <w:kern w:val="1"/>
          <w:szCs w:val="22"/>
          <w:lang w:eastAsia="x-none" w:bidi="x-none"/>
        </w:rPr>
      </w:pPr>
      <w:hyperlink r:id="rId11" w:history="1">
        <w:r>
          <w:rPr>
            <w:rFonts w:eastAsia="Calibri"/>
            <w:kern w:val="1"/>
            <w:szCs w:val="22"/>
            <w:lang w:eastAsia="x-none" w:bidi="x-none"/>
          </w:rPr>
          <w:t>DFFH</w:t>
        </w:r>
        <w:r w:rsidRPr="004926AA">
          <w:rPr>
            <w:rFonts w:eastAsia="Calibri"/>
            <w:kern w:val="1"/>
            <w:szCs w:val="22"/>
            <w:lang w:eastAsia="x-none" w:bidi="x-none"/>
          </w:rPr>
          <w:t xml:space="preserve"> Rent setting and rebate operational guidelines</w:t>
        </w:r>
      </w:hyperlink>
    </w:p>
    <w:p w14:paraId="7C5BAA02" w14:textId="77777777" w:rsidR="007126DB" w:rsidRDefault="007126DB" w:rsidP="007126DB">
      <w:pPr>
        <w:pStyle w:val="Bulleted"/>
        <w:numPr>
          <w:ilvl w:val="0"/>
          <w:numId w:val="39"/>
        </w:numPr>
        <w:tabs>
          <w:tab w:val="left" w:pos="0"/>
        </w:tabs>
        <w:ind w:hanging="720"/>
      </w:pPr>
      <w:r>
        <w:t xml:space="preserve">Victorian Housing Register – Eligibility Criteria Operational Guidelines </w:t>
      </w:r>
    </w:p>
    <w:p w14:paraId="63961B71" w14:textId="77777777" w:rsidR="007126DB" w:rsidRDefault="007126DB" w:rsidP="007126DB">
      <w:pPr>
        <w:pStyle w:val="Bulleted"/>
        <w:numPr>
          <w:ilvl w:val="0"/>
          <w:numId w:val="39"/>
        </w:numPr>
        <w:tabs>
          <w:tab w:val="left" w:pos="0"/>
        </w:tabs>
        <w:ind w:hanging="720"/>
      </w:pPr>
      <w:r>
        <w:t xml:space="preserve">Performance Standards for Registered Housing Organisations </w:t>
      </w:r>
    </w:p>
    <w:p w14:paraId="10A79CB0" w14:textId="77777777" w:rsidR="007126DB" w:rsidRDefault="007126DB" w:rsidP="007126DB">
      <w:pPr>
        <w:pStyle w:val="Normal2"/>
      </w:pPr>
    </w:p>
    <w:p w14:paraId="0932CF3A" w14:textId="77777777" w:rsidR="007126DB" w:rsidRDefault="007126DB" w:rsidP="007126DB">
      <w:pPr>
        <w:pStyle w:val="Heading1"/>
      </w:pPr>
      <w:bookmarkStart w:id="31" w:name="_Toc391906728"/>
      <w:bookmarkStart w:id="32" w:name="_Toc476742706"/>
      <w:bookmarkStart w:id="33" w:name="_Toc186464388"/>
      <w:bookmarkStart w:id="34" w:name="_Toc186465629"/>
      <w:bookmarkEnd w:id="31"/>
      <w:bookmarkEnd w:id="32"/>
      <w:r>
        <w:t>Relevant Legislation</w:t>
      </w:r>
      <w:bookmarkEnd w:id="33"/>
      <w:bookmarkEnd w:id="34"/>
    </w:p>
    <w:p w14:paraId="7D449BE3" w14:textId="77777777" w:rsidR="007126DB" w:rsidRDefault="007126DB" w:rsidP="007126DB">
      <w:pPr>
        <w:pStyle w:val="Bulleted"/>
        <w:numPr>
          <w:ilvl w:val="0"/>
          <w:numId w:val="39"/>
        </w:numPr>
        <w:tabs>
          <w:tab w:val="left" w:pos="0"/>
        </w:tabs>
        <w:ind w:hanging="720"/>
      </w:pPr>
      <w:r>
        <w:t>The Charter of Human Rights and Responsibilities Act 2006 (Vic)</w:t>
      </w:r>
    </w:p>
    <w:p w14:paraId="4C1D6008" w14:textId="1EF7A2FA" w:rsidR="007126DB" w:rsidRDefault="007126DB" w:rsidP="007126DB">
      <w:pPr>
        <w:pStyle w:val="Bulleted"/>
        <w:numPr>
          <w:ilvl w:val="0"/>
          <w:numId w:val="39"/>
        </w:numPr>
        <w:tabs>
          <w:tab w:val="left" w:pos="0"/>
        </w:tabs>
        <w:ind w:hanging="720"/>
      </w:pPr>
      <w:r>
        <w:t>Residential Tenancies Act 1997</w:t>
      </w:r>
      <w:r w:rsidR="009534B1">
        <w:t xml:space="preserve"> (Vic)</w:t>
      </w:r>
    </w:p>
    <w:p w14:paraId="1DF9E375" w14:textId="77777777" w:rsidR="007126DB" w:rsidRDefault="007126DB" w:rsidP="007126DB">
      <w:pPr>
        <w:pStyle w:val="Bulleted"/>
        <w:numPr>
          <w:ilvl w:val="0"/>
          <w:numId w:val="39"/>
        </w:numPr>
        <w:tabs>
          <w:tab w:val="left" w:pos="0"/>
        </w:tabs>
        <w:ind w:hanging="720"/>
      </w:pPr>
      <w:r>
        <w:t>Housing Act 1983 (Vic)</w:t>
      </w:r>
    </w:p>
    <w:p w14:paraId="1697BD19" w14:textId="77777777" w:rsidR="007126DB" w:rsidRDefault="007126DB" w:rsidP="007126DB">
      <w:pPr>
        <w:pStyle w:val="Bulleted"/>
        <w:numPr>
          <w:ilvl w:val="0"/>
          <w:numId w:val="39"/>
        </w:numPr>
        <w:tabs>
          <w:tab w:val="left" w:pos="0"/>
        </w:tabs>
        <w:ind w:hanging="720"/>
      </w:pPr>
      <w:r>
        <w:t>Information Privacy Act 2000 (Vic)</w:t>
      </w:r>
    </w:p>
    <w:p w14:paraId="563E2765" w14:textId="77777777" w:rsidR="007126DB" w:rsidRDefault="007126DB" w:rsidP="007126DB">
      <w:pPr>
        <w:pStyle w:val="Bulleted"/>
        <w:numPr>
          <w:ilvl w:val="0"/>
          <w:numId w:val="39"/>
        </w:numPr>
        <w:tabs>
          <w:tab w:val="left" w:pos="0"/>
        </w:tabs>
        <w:ind w:hanging="720"/>
      </w:pPr>
      <w:r>
        <w:t>Privacy Act 1988 (Cth)</w:t>
      </w:r>
    </w:p>
    <w:p w14:paraId="188CA438" w14:textId="77777777" w:rsidR="0081161E" w:rsidRPr="0081161E" w:rsidRDefault="0081161E" w:rsidP="0081161E"/>
    <w:sectPr w:rsidR="0081161E" w:rsidRPr="0081161E" w:rsidSect="00C60B9B">
      <w:footerReference w:type="default" r:id="rId12"/>
      <w:headerReference w:type="first" r:id="rId13"/>
      <w:pgSz w:w="11909" w:h="16834" w:code="9"/>
      <w:pgMar w:top="1440" w:right="1440" w:bottom="1440" w:left="1440" w:header="0" w:footer="57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3740" w14:textId="77777777" w:rsidR="00357417" w:rsidRDefault="00357417">
      <w:r>
        <w:separator/>
      </w:r>
    </w:p>
  </w:endnote>
  <w:endnote w:type="continuationSeparator" w:id="0">
    <w:p w14:paraId="614EAC92" w14:textId="77777777" w:rsidR="00357417" w:rsidRDefault="00357417">
      <w:r>
        <w:continuationSeparator/>
      </w:r>
    </w:p>
  </w:endnote>
  <w:endnote w:type="continuationNotice" w:id="1">
    <w:p w14:paraId="7081EC61" w14:textId="77777777" w:rsidR="00357417" w:rsidRDefault="00357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Century Schlbk">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Century BookCond">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Zwo Regular LF">
    <w:altName w:val="Zwo Regular LF"/>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06" w:type="pct"/>
      <w:tblInd w:w="108" w:type="dxa"/>
      <w:tblLook w:val="04A0" w:firstRow="1" w:lastRow="0" w:firstColumn="1" w:lastColumn="0" w:noHBand="0" w:noVBand="1"/>
    </w:tblPr>
    <w:tblGrid>
      <w:gridCol w:w="5103"/>
      <w:gridCol w:w="3968"/>
    </w:tblGrid>
    <w:tr w:rsidR="00594A9D" w:rsidRPr="00E67775" w14:paraId="7D136B0F" w14:textId="77777777" w:rsidTr="008F611D">
      <w:tc>
        <w:tcPr>
          <w:tcW w:w="2813" w:type="pct"/>
        </w:tcPr>
        <w:p w14:paraId="6667C2F0" w14:textId="31448134" w:rsidR="00DE39F1" w:rsidRPr="00B15481" w:rsidRDefault="00C60B9B" w:rsidP="00622F02">
          <w:pPr>
            <w:pStyle w:val="Footer"/>
            <w:ind w:left="0"/>
            <w:rPr>
              <w:rStyle w:val="PageNumber"/>
              <w:rFonts w:ascii="Calibri" w:eastAsia="Arial Unicode MS" w:hAnsi="Calibri"/>
              <w:sz w:val="16"/>
              <w:szCs w:val="16"/>
            </w:rPr>
          </w:pPr>
          <w:r>
            <w:rPr>
              <w:rFonts w:eastAsia="Arial Unicode MS"/>
              <w:sz w:val="16"/>
              <w:szCs w:val="16"/>
            </w:rPr>
            <w:t>Rent Setting and Review Policy</w:t>
          </w:r>
        </w:p>
      </w:tc>
      <w:tc>
        <w:tcPr>
          <w:tcW w:w="2187" w:type="pct"/>
        </w:tcPr>
        <w:p w14:paraId="35AE5C30" w14:textId="77777777" w:rsidR="00594A9D" w:rsidRPr="00E67775" w:rsidRDefault="00594A9D" w:rsidP="008F611D">
          <w:pPr>
            <w:pStyle w:val="Footer"/>
            <w:tabs>
              <w:tab w:val="left" w:pos="3606"/>
              <w:tab w:val="center" w:pos="3969"/>
            </w:tabs>
            <w:ind w:left="0"/>
            <w:jc w:val="right"/>
            <w:rPr>
              <w:rStyle w:val="PageNumber"/>
              <w:rFonts w:ascii="Calibri" w:hAnsi="Calibri" w:cs="Calibri"/>
              <w:sz w:val="16"/>
              <w:szCs w:val="16"/>
            </w:rPr>
          </w:pPr>
          <w:r w:rsidRPr="00E67775">
            <w:rPr>
              <w:rFonts w:ascii="Calibri" w:hAnsi="Calibri"/>
              <w:sz w:val="16"/>
              <w:szCs w:val="16"/>
            </w:rPr>
            <w:t>Page</w:t>
          </w:r>
          <w:r>
            <w:rPr>
              <w:rFonts w:ascii="Calibri" w:hAnsi="Calibri"/>
              <w:sz w:val="16"/>
              <w:szCs w:val="16"/>
            </w:rPr>
            <w:t xml:space="preserve"> </w:t>
          </w:r>
          <w:r w:rsidRPr="00E67775">
            <w:rPr>
              <w:rFonts w:ascii="Calibri" w:hAnsi="Calibri"/>
              <w:b/>
              <w:sz w:val="16"/>
              <w:szCs w:val="16"/>
            </w:rPr>
            <w:fldChar w:fldCharType="begin"/>
          </w:r>
          <w:r w:rsidRPr="00E67775">
            <w:rPr>
              <w:rFonts w:ascii="Calibri" w:hAnsi="Calibri"/>
              <w:b/>
              <w:sz w:val="16"/>
              <w:szCs w:val="16"/>
            </w:rPr>
            <w:instrText xml:space="preserve"> PAGE </w:instrText>
          </w:r>
          <w:r w:rsidRPr="00E67775">
            <w:rPr>
              <w:rFonts w:ascii="Calibri" w:hAnsi="Calibri"/>
              <w:b/>
              <w:sz w:val="16"/>
              <w:szCs w:val="16"/>
            </w:rPr>
            <w:fldChar w:fldCharType="separate"/>
          </w:r>
          <w:r w:rsidR="00C94BF6">
            <w:rPr>
              <w:rFonts w:ascii="Calibri" w:hAnsi="Calibri"/>
              <w:b/>
              <w:noProof/>
              <w:sz w:val="16"/>
              <w:szCs w:val="16"/>
            </w:rPr>
            <w:t>3</w:t>
          </w:r>
          <w:r w:rsidRPr="00E67775">
            <w:rPr>
              <w:rFonts w:ascii="Calibri" w:hAnsi="Calibri"/>
              <w:b/>
              <w:sz w:val="16"/>
              <w:szCs w:val="16"/>
            </w:rPr>
            <w:fldChar w:fldCharType="end"/>
          </w:r>
          <w:r w:rsidRPr="00E67775">
            <w:rPr>
              <w:rFonts w:ascii="Calibri" w:hAnsi="Calibri"/>
              <w:sz w:val="16"/>
              <w:szCs w:val="16"/>
            </w:rPr>
            <w:t xml:space="preserve"> of </w:t>
          </w:r>
          <w:r w:rsidRPr="00E67775">
            <w:rPr>
              <w:rFonts w:ascii="Calibri" w:hAnsi="Calibri"/>
              <w:b/>
              <w:sz w:val="16"/>
              <w:szCs w:val="16"/>
            </w:rPr>
            <w:fldChar w:fldCharType="begin"/>
          </w:r>
          <w:r w:rsidRPr="00E67775">
            <w:rPr>
              <w:rFonts w:ascii="Calibri" w:hAnsi="Calibri"/>
              <w:b/>
              <w:sz w:val="16"/>
              <w:szCs w:val="16"/>
            </w:rPr>
            <w:instrText xml:space="preserve"> NUMPAGES  </w:instrText>
          </w:r>
          <w:r w:rsidRPr="00E67775">
            <w:rPr>
              <w:rFonts w:ascii="Calibri" w:hAnsi="Calibri"/>
              <w:b/>
              <w:sz w:val="16"/>
              <w:szCs w:val="16"/>
            </w:rPr>
            <w:fldChar w:fldCharType="separate"/>
          </w:r>
          <w:r w:rsidR="00C94BF6">
            <w:rPr>
              <w:rFonts w:ascii="Calibri" w:hAnsi="Calibri"/>
              <w:b/>
              <w:noProof/>
              <w:sz w:val="16"/>
              <w:szCs w:val="16"/>
            </w:rPr>
            <w:t>7</w:t>
          </w:r>
          <w:r w:rsidRPr="00E67775">
            <w:rPr>
              <w:rFonts w:ascii="Calibri" w:hAnsi="Calibri"/>
              <w:b/>
              <w:sz w:val="16"/>
              <w:szCs w:val="16"/>
            </w:rPr>
            <w:fldChar w:fldCharType="end"/>
          </w:r>
        </w:p>
      </w:tc>
    </w:tr>
  </w:tbl>
  <w:p w14:paraId="6CFF258B" w14:textId="77777777" w:rsidR="00594A9D" w:rsidRDefault="00594A9D" w:rsidP="006412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5071B" w14:textId="77777777" w:rsidR="00357417" w:rsidRDefault="00357417">
      <w:r>
        <w:separator/>
      </w:r>
    </w:p>
  </w:footnote>
  <w:footnote w:type="continuationSeparator" w:id="0">
    <w:p w14:paraId="4A41B1F1" w14:textId="77777777" w:rsidR="00357417" w:rsidRDefault="00357417">
      <w:r>
        <w:continuationSeparator/>
      </w:r>
    </w:p>
  </w:footnote>
  <w:footnote w:type="continuationNotice" w:id="1">
    <w:p w14:paraId="1E04142A" w14:textId="77777777" w:rsidR="00357417" w:rsidRDefault="003574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D6E3" w14:textId="77777777" w:rsidR="003C72FE" w:rsidRPr="003C72FE" w:rsidRDefault="003C72FE" w:rsidP="003C72FE">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2217975" o:spid="_x0000_i1026" type="#_x0000_t75" style="width:9pt;height:9pt;visibility:visible;mso-wrap-style:square" o:bullet="t">
        <v:imagedata r:id="rId1" o:title=""/>
      </v:shape>
    </w:pict>
  </w:numPicBullet>
  <w:abstractNum w:abstractNumId="0" w15:restartNumberingAfterBreak="0">
    <w:nsid w:val="FFFFFF1D"/>
    <w:multiLevelType w:val="multilevel"/>
    <w:tmpl w:val="FF88AD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0F5EC74A"/>
    <w:lvl w:ilvl="0">
      <w:start w:val="1"/>
      <w:numFmt w:val="decimal"/>
      <w:pStyle w:val="ListNumber"/>
      <w:lvlText w:val="%1."/>
      <w:lvlJc w:val="left"/>
      <w:pPr>
        <w:tabs>
          <w:tab w:val="num" w:pos="360"/>
        </w:tabs>
        <w:ind w:left="360" w:hanging="360"/>
      </w:pPr>
    </w:lvl>
  </w:abstractNum>
  <w:abstractNum w:abstractNumId="2" w15:restartNumberingAfterBreak="0">
    <w:nsid w:val="00000404"/>
    <w:multiLevelType w:val="multilevel"/>
    <w:tmpl w:val="00000887"/>
    <w:lvl w:ilvl="0">
      <w:numFmt w:val="bullet"/>
      <w:lvlText w:val=""/>
      <w:lvlJc w:val="left"/>
      <w:pPr>
        <w:ind w:left="940" w:hanging="720"/>
      </w:pPr>
      <w:rPr>
        <w:rFonts w:ascii="Symbol" w:hAnsi="Symbol" w:cs="Symbol"/>
        <w:b w:val="0"/>
        <w:bCs w:val="0"/>
        <w:sz w:val="24"/>
        <w:szCs w:val="24"/>
      </w:rPr>
    </w:lvl>
    <w:lvl w:ilvl="1">
      <w:numFmt w:val="bullet"/>
      <w:lvlText w:val="•"/>
      <w:lvlJc w:val="left"/>
      <w:pPr>
        <w:ind w:left="1801" w:hanging="720"/>
      </w:pPr>
    </w:lvl>
    <w:lvl w:ilvl="2">
      <w:numFmt w:val="bullet"/>
      <w:lvlText w:val="•"/>
      <w:lvlJc w:val="left"/>
      <w:pPr>
        <w:ind w:left="2662" w:hanging="720"/>
      </w:pPr>
    </w:lvl>
    <w:lvl w:ilvl="3">
      <w:numFmt w:val="bullet"/>
      <w:lvlText w:val="•"/>
      <w:lvlJc w:val="left"/>
      <w:pPr>
        <w:ind w:left="3522" w:hanging="720"/>
      </w:pPr>
    </w:lvl>
    <w:lvl w:ilvl="4">
      <w:numFmt w:val="bullet"/>
      <w:lvlText w:val="•"/>
      <w:lvlJc w:val="left"/>
      <w:pPr>
        <w:ind w:left="4383" w:hanging="720"/>
      </w:pPr>
    </w:lvl>
    <w:lvl w:ilvl="5">
      <w:numFmt w:val="bullet"/>
      <w:lvlText w:val="•"/>
      <w:lvlJc w:val="left"/>
      <w:pPr>
        <w:ind w:left="5244" w:hanging="720"/>
      </w:pPr>
    </w:lvl>
    <w:lvl w:ilvl="6">
      <w:numFmt w:val="bullet"/>
      <w:lvlText w:val="•"/>
      <w:lvlJc w:val="left"/>
      <w:pPr>
        <w:ind w:left="6105" w:hanging="720"/>
      </w:pPr>
    </w:lvl>
    <w:lvl w:ilvl="7">
      <w:numFmt w:val="bullet"/>
      <w:lvlText w:val="•"/>
      <w:lvlJc w:val="left"/>
      <w:pPr>
        <w:ind w:left="6966" w:hanging="720"/>
      </w:pPr>
    </w:lvl>
    <w:lvl w:ilvl="8">
      <w:numFmt w:val="bullet"/>
      <w:lvlText w:val="•"/>
      <w:lvlJc w:val="left"/>
      <w:pPr>
        <w:ind w:left="7827" w:hanging="720"/>
      </w:pPr>
    </w:lvl>
  </w:abstractNum>
  <w:abstractNum w:abstractNumId="3" w15:restartNumberingAfterBreak="0">
    <w:nsid w:val="01584803"/>
    <w:multiLevelType w:val="hybridMultilevel"/>
    <w:tmpl w:val="CA744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8B2D18"/>
    <w:multiLevelType w:val="hybridMultilevel"/>
    <w:tmpl w:val="89CCF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E66E79"/>
    <w:multiLevelType w:val="hybridMultilevel"/>
    <w:tmpl w:val="BB52E39A"/>
    <w:lvl w:ilvl="0" w:tplc="0C090017">
      <w:start w:val="1"/>
      <w:numFmt w:val="lowerLetter"/>
      <w:lvlText w:val="%1)"/>
      <w:lvlJc w:val="left"/>
      <w:pPr>
        <w:ind w:left="5040" w:hanging="360"/>
      </w:pPr>
    </w:lvl>
    <w:lvl w:ilvl="1" w:tplc="0C090019" w:tentative="1">
      <w:start w:val="1"/>
      <w:numFmt w:val="lowerLetter"/>
      <w:lvlText w:val="%2."/>
      <w:lvlJc w:val="left"/>
      <w:pPr>
        <w:ind w:left="5760" w:hanging="360"/>
      </w:pPr>
    </w:lvl>
    <w:lvl w:ilvl="2" w:tplc="0C09001B" w:tentative="1">
      <w:start w:val="1"/>
      <w:numFmt w:val="lowerRoman"/>
      <w:lvlText w:val="%3."/>
      <w:lvlJc w:val="right"/>
      <w:pPr>
        <w:ind w:left="6480" w:hanging="180"/>
      </w:pPr>
    </w:lvl>
    <w:lvl w:ilvl="3" w:tplc="0C09000F" w:tentative="1">
      <w:start w:val="1"/>
      <w:numFmt w:val="decimal"/>
      <w:lvlText w:val="%4."/>
      <w:lvlJc w:val="left"/>
      <w:pPr>
        <w:ind w:left="7200" w:hanging="360"/>
      </w:pPr>
    </w:lvl>
    <w:lvl w:ilvl="4" w:tplc="0C090019" w:tentative="1">
      <w:start w:val="1"/>
      <w:numFmt w:val="lowerLetter"/>
      <w:lvlText w:val="%5."/>
      <w:lvlJc w:val="left"/>
      <w:pPr>
        <w:ind w:left="7920" w:hanging="360"/>
      </w:pPr>
    </w:lvl>
    <w:lvl w:ilvl="5" w:tplc="0C09001B" w:tentative="1">
      <w:start w:val="1"/>
      <w:numFmt w:val="lowerRoman"/>
      <w:lvlText w:val="%6."/>
      <w:lvlJc w:val="right"/>
      <w:pPr>
        <w:ind w:left="8640" w:hanging="180"/>
      </w:pPr>
    </w:lvl>
    <w:lvl w:ilvl="6" w:tplc="0C09000F" w:tentative="1">
      <w:start w:val="1"/>
      <w:numFmt w:val="decimal"/>
      <w:lvlText w:val="%7."/>
      <w:lvlJc w:val="left"/>
      <w:pPr>
        <w:ind w:left="9360" w:hanging="360"/>
      </w:pPr>
    </w:lvl>
    <w:lvl w:ilvl="7" w:tplc="0C090019" w:tentative="1">
      <w:start w:val="1"/>
      <w:numFmt w:val="lowerLetter"/>
      <w:lvlText w:val="%8."/>
      <w:lvlJc w:val="left"/>
      <w:pPr>
        <w:ind w:left="10080" w:hanging="360"/>
      </w:pPr>
    </w:lvl>
    <w:lvl w:ilvl="8" w:tplc="0C09001B" w:tentative="1">
      <w:start w:val="1"/>
      <w:numFmt w:val="lowerRoman"/>
      <w:lvlText w:val="%9."/>
      <w:lvlJc w:val="right"/>
      <w:pPr>
        <w:ind w:left="10800" w:hanging="180"/>
      </w:pPr>
    </w:lvl>
  </w:abstractNum>
  <w:abstractNum w:abstractNumId="6" w15:restartNumberingAfterBreak="0">
    <w:nsid w:val="0CF11B1F"/>
    <w:multiLevelType w:val="hybridMultilevel"/>
    <w:tmpl w:val="6C0679B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108B5BBD"/>
    <w:multiLevelType w:val="multilevel"/>
    <w:tmpl w:val="F8964B50"/>
    <w:lvl w:ilvl="0">
      <w:start w:val="1"/>
      <w:numFmt w:val="none"/>
      <w:pStyle w:val="Legal1"/>
      <w:isLgl/>
      <w:lvlText w:val="3"/>
      <w:lvlJc w:val="left"/>
      <w:pPr>
        <w:tabs>
          <w:tab w:val="num" w:pos="360"/>
        </w:tabs>
        <w:ind w:left="0" w:firstLine="0"/>
      </w:pPr>
      <w:rPr>
        <w:rFonts w:hint="default"/>
      </w:rPr>
    </w:lvl>
    <w:lvl w:ilvl="1">
      <w:start w:val="1"/>
      <w:numFmt w:val="none"/>
      <w:lvlRestart w:val="0"/>
      <w:isLgl/>
      <w:lvlText w:val="3.1"/>
      <w:lvlJc w:val="left"/>
      <w:pPr>
        <w:tabs>
          <w:tab w:val="num" w:pos="720"/>
        </w:tabs>
        <w:ind w:left="720" w:hanging="720"/>
      </w:pPr>
      <w:rPr>
        <w:rFonts w:hint="default"/>
      </w:rPr>
    </w:lvl>
    <w:lvl w:ilvl="2">
      <w:start w:val="1"/>
      <w:numFmt w:val="decimal"/>
      <w:pStyle w:val="Legal3"/>
      <w:lvlText w:val="%1.%2.%3"/>
      <w:lvlJc w:val="left"/>
      <w:pPr>
        <w:tabs>
          <w:tab w:val="num" w:pos="72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 w15:restartNumberingAfterBreak="0">
    <w:nsid w:val="123B0458"/>
    <w:multiLevelType w:val="hybridMultilevel"/>
    <w:tmpl w:val="E3FE143E"/>
    <w:lvl w:ilvl="0" w:tplc="FAD09790">
      <w:start w:val="1"/>
      <w:numFmt w:val="bullet"/>
      <w:pStyle w:val="Bullet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07B9F"/>
    <w:multiLevelType w:val="hybridMultilevel"/>
    <w:tmpl w:val="8F9237E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157A2D0E"/>
    <w:multiLevelType w:val="hybridMultilevel"/>
    <w:tmpl w:val="76E6F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608F7"/>
    <w:multiLevelType w:val="hybridMultilevel"/>
    <w:tmpl w:val="4CB4285C"/>
    <w:lvl w:ilvl="0" w:tplc="CCEABAFC">
      <w:start w:val="1"/>
      <w:numFmt w:val="decimal"/>
      <w:lvlText w:val="%1."/>
      <w:lvlJc w:val="left"/>
      <w:pPr>
        <w:tabs>
          <w:tab w:val="num" w:pos="720"/>
        </w:tabs>
        <w:ind w:left="720" w:hanging="360"/>
      </w:pPr>
    </w:lvl>
    <w:lvl w:ilvl="1" w:tplc="D61A5B64" w:tentative="1">
      <w:start w:val="1"/>
      <w:numFmt w:val="decimal"/>
      <w:lvlText w:val="%2."/>
      <w:lvlJc w:val="left"/>
      <w:pPr>
        <w:tabs>
          <w:tab w:val="num" w:pos="1440"/>
        </w:tabs>
        <w:ind w:left="1440" w:hanging="360"/>
      </w:pPr>
    </w:lvl>
    <w:lvl w:ilvl="2" w:tplc="A7944A2C" w:tentative="1">
      <w:start w:val="1"/>
      <w:numFmt w:val="decimal"/>
      <w:lvlText w:val="%3."/>
      <w:lvlJc w:val="left"/>
      <w:pPr>
        <w:tabs>
          <w:tab w:val="num" w:pos="2160"/>
        </w:tabs>
        <w:ind w:left="2160" w:hanging="360"/>
      </w:pPr>
    </w:lvl>
    <w:lvl w:ilvl="3" w:tplc="F45AD708" w:tentative="1">
      <w:start w:val="1"/>
      <w:numFmt w:val="decimal"/>
      <w:lvlText w:val="%4."/>
      <w:lvlJc w:val="left"/>
      <w:pPr>
        <w:tabs>
          <w:tab w:val="num" w:pos="2880"/>
        </w:tabs>
        <w:ind w:left="2880" w:hanging="360"/>
      </w:pPr>
    </w:lvl>
    <w:lvl w:ilvl="4" w:tplc="08CE2452" w:tentative="1">
      <w:start w:val="1"/>
      <w:numFmt w:val="decimal"/>
      <w:lvlText w:val="%5."/>
      <w:lvlJc w:val="left"/>
      <w:pPr>
        <w:tabs>
          <w:tab w:val="num" w:pos="3600"/>
        </w:tabs>
        <w:ind w:left="3600" w:hanging="360"/>
      </w:pPr>
    </w:lvl>
    <w:lvl w:ilvl="5" w:tplc="CE181C94" w:tentative="1">
      <w:start w:val="1"/>
      <w:numFmt w:val="decimal"/>
      <w:lvlText w:val="%6."/>
      <w:lvlJc w:val="left"/>
      <w:pPr>
        <w:tabs>
          <w:tab w:val="num" w:pos="4320"/>
        </w:tabs>
        <w:ind w:left="4320" w:hanging="360"/>
      </w:pPr>
    </w:lvl>
    <w:lvl w:ilvl="6" w:tplc="D346AC2C" w:tentative="1">
      <w:start w:val="1"/>
      <w:numFmt w:val="decimal"/>
      <w:lvlText w:val="%7."/>
      <w:lvlJc w:val="left"/>
      <w:pPr>
        <w:tabs>
          <w:tab w:val="num" w:pos="5040"/>
        </w:tabs>
        <w:ind w:left="5040" w:hanging="360"/>
      </w:pPr>
    </w:lvl>
    <w:lvl w:ilvl="7" w:tplc="AB069D8E" w:tentative="1">
      <w:start w:val="1"/>
      <w:numFmt w:val="decimal"/>
      <w:lvlText w:val="%8."/>
      <w:lvlJc w:val="left"/>
      <w:pPr>
        <w:tabs>
          <w:tab w:val="num" w:pos="5760"/>
        </w:tabs>
        <w:ind w:left="5760" w:hanging="360"/>
      </w:pPr>
    </w:lvl>
    <w:lvl w:ilvl="8" w:tplc="F056A4B8" w:tentative="1">
      <w:start w:val="1"/>
      <w:numFmt w:val="decimal"/>
      <w:lvlText w:val="%9."/>
      <w:lvlJc w:val="left"/>
      <w:pPr>
        <w:tabs>
          <w:tab w:val="num" w:pos="6480"/>
        </w:tabs>
        <w:ind w:left="6480" w:hanging="360"/>
      </w:pPr>
    </w:lvl>
  </w:abstractNum>
  <w:abstractNum w:abstractNumId="12" w15:restartNumberingAfterBreak="0">
    <w:nsid w:val="196A322D"/>
    <w:multiLevelType w:val="hybridMultilevel"/>
    <w:tmpl w:val="620AB7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EA02877"/>
    <w:multiLevelType w:val="multilevel"/>
    <w:tmpl w:val="E604B7B4"/>
    <w:styleLink w:val="Style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110416"/>
    <w:multiLevelType w:val="hybridMultilevel"/>
    <w:tmpl w:val="F69A1718"/>
    <w:lvl w:ilvl="0" w:tplc="FE5A6D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252842"/>
    <w:multiLevelType w:val="multilevel"/>
    <w:tmpl w:val="32D47E06"/>
    <w:styleLink w:val="Style1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6B2415C"/>
    <w:multiLevelType w:val="hybridMultilevel"/>
    <w:tmpl w:val="5BE4AE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656FBF"/>
    <w:multiLevelType w:val="hybridMultilevel"/>
    <w:tmpl w:val="410CC506"/>
    <w:lvl w:ilvl="0" w:tplc="0C090001">
      <w:start w:val="1"/>
      <w:numFmt w:val="lowerLetter"/>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start w:val="1"/>
      <w:numFmt w:val="lowerLetter"/>
      <w:lvlText w:val="%6)"/>
      <w:lvlJc w:val="lef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8" w15:restartNumberingAfterBreak="0">
    <w:nsid w:val="2B9D5F96"/>
    <w:multiLevelType w:val="multilevel"/>
    <w:tmpl w:val="08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F69170D"/>
    <w:multiLevelType w:val="hybridMultilevel"/>
    <w:tmpl w:val="2320E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DE4CA4"/>
    <w:multiLevelType w:val="multilevel"/>
    <w:tmpl w:val="A20404E4"/>
    <w:styleLink w:val="Style9"/>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D385D78"/>
    <w:multiLevelType w:val="multilevel"/>
    <w:tmpl w:val="7FCE69CE"/>
    <w:styleLink w:val="Style5"/>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FA27551"/>
    <w:multiLevelType w:val="hybridMultilevel"/>
    <w:tmpl w:val="D9B6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C035A3"/>
    <w:multiLevelType w:val="hybridMultilevel"/>
    <w:tmpl w:val="B390473A"/>
    <w:lvl w:ilvl="0" w:tplc="F4F03E9A">
      <w:start w:val="1"/>
      <w:numFmt w:val="bullet"/>
      <w:lvlText w:val=""/>
      <w:lvlJc w:val="left"/>
      <w:pPr>
        <w:ind w:left="765" w:hanging="360"/>
      </w:pPr>
      <w:rPr>
        <w:rFonts w:ascii="Symbol" w:hAnsi="Symbol" w:hint="default"/>
      </w:rPr>
    </w:lvl>
    <w:lvl w:ilvl="1" w:tplc="48090003" w:tentative="1">
      <w:start w:val="1"/>
      <w:numFmt w:val="bullet"/>
      <w:lvlText w:val="o"/>
      <w:lvlJc w:val="left"/>
      <w:pPr>
        <w:ind w:left="1485" w:hanging="360"/>
      </w:pPr>
      <w:rPr>
        <w:rFonts w:ascii="Courier New" w:hAnsi="Courier New" w:cs="Courier New" w:hint="default"/>
      </w:rPr>
    </w:lvl>
    <w:lvl w:ilvl="2" w:tplc="48090005" w:tentative="1">
      <w:start w:val="1"/>
      <w:numFmt w:val="bullet"/>
      <w:lvlText w:val=""/>
      <w:lvlJc w:val="left"/>
      <w:pPr>
        <w:ind w:left="2205" w:hanging="360"/>
      </w:pPr>
      <w:rPr>
        <w:rFonts w:ascii="Wingdings" w:hAnsi="Wingdings" w:hint="default"/>
      </w:rPr>
    </w:lvl>
    <w:lvl w:ilvl="3" w:tplc="48090001" w:tentative="1">
      <w:start w:val="1"/>
      <w:numFmt w:val="bullet"/>
      <w:lvlText w:val=""/>
      <w:lvlJc w:val="left"/>
      <w:pPr>
        <w:ind w:left="2925" w:hanging="360"/>
      </w:pPr>
      <w:rPr>
        <w:rFonts w:ascii="Symbol" w:hAnsi="Symbol" w:hint="default"/>
      </w:rPr>
    </w:lvl>
    <w:lvl w:ilvl="4" w:tplc="48090003" w:tentative="1">
      <w:start w:val="1"/>
      <w:numFmt w:val="bullet"/>
      <w:lvlText w:val="o"/>
      <w:lvlJc w:val="left"/>
      <w:pPr>
        <w:ind w:left="3645" w:hanging="360"/>
      </w:pPr>
      <w:rPr>
        <w:rFonts w:ascii="Courier New" w:hAnsi="Courier New" w:cs="Courier New" w:hint="default"/>
      </w:rPr>
    </w:lvl>
    <w:lvl w:ilvl="5" w:tplc="48090005" w:tentative="1">
      <w:start w:val="1"/>
      <w:numFmt w:val="bullet"/>
      <w:lvlText w:val=""/>
      <w:lvlJc w:val="left"/>
      <w:pPr>
        <w:ind w:left="4365" w:hanging="360"/>
      </w:pPr>
      <w:rPr>
        <w:rFonts w:ascii="Wingdings" w:hAnsi="Wingdings" w:hint="default"/>
      </w:rPr>
    </w:lvl>
    <w:lvl w:ilvl="6" w:tplc="48090001" w:tentative="1">
      <w:start w:val="1"/>
      <w:numFmt w:val="bullet"/>
      <w:lvlText w:val=""/>
      <w:lvlJc w:val="left"/>
      <w:pPr>
        <w:ind w:left="5085" w:hanging="360"/>
      </w:pPr>
      <w:rPr>
        <w:rFonts w:ascii="Symbol" w:hAnsi="Symbol" w:hint="default"/>
      </w:rPr>
    </w:lvl>
    <w:lvl w:ilvl="7" w:tplc="48090003" w:tentative="1">
      <w:start w:val="1"/>
      <w:numFmt w:val="bullet"/>
      <w:lvlText w:val="o"/>
      <w:lvlJc w:val="left"/>
      <w:pPr>
        <w:ind w:left="5805" w:hanging="360"/>
      </w:pPr>
      <w:rPr>
        <w:rFonts w:ascii="Courier New" w:hAnsi="Courier New" w:cs="Courier New" w:hint="default"/>
      </w:rPr>
    </w:lvl>
    <w:lvl w:ilvl="8" w:tplc="48090005" w:tentative="1">
      <w:start w:val="1"/>
      <w:numFmt w:val="bullet"/>
      <w:lvlText w:val=""/>
      <w:lvlJc w:val="left"/>
      <w:pPr>
        <w:ind w:left="6525" w:hanging="360"/>
      </w:pPr>
      <w:rPr>
        <w:rFonts w:ascii="Wingdings" w:hAnsi="Wingdings" w:hint="default"/>
      </w:rPr>
    </w:lvl>
  </w:abstractNum>
  <w:abstractNum w:abstractNumId="24" w15:restartNumberingAfterBreak="0">
    <w:nsid w:val="446D48C3"/>
    <w:multiLevelType w:val="multilevel"/>
    <w:tmpl w:val="AE601C1A"/>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851"/>
        </w:tabs>
        <w:ind w:left="851" w:hanging="851"/>
      </w:pPr>
      <w:rPr>
        <w:rFonts w:hint="default"/>
        <w:i w:val="0"/>
      </w:rPr>
    </w:lvl>
    <w:lvl w:ilvl="2">
      <w:start w:val="1"/>
      <w:numFmt w:val="decimal"/>
      <w:pStyle w:val="Heading3"/>
      <w:lvlText w:val="%1.%2.%3"/>
      <w:lvlJc w:val="left"/>
      <w:pPr>
        <w:ind w:left="1712" w:hanging="851"/>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4C24BCE"/>
    <w:multiLevelType w:val="hybridMultilevel"/>
    <w:tmpl w:val="A0FE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64865"/>
    <w:multiLevelType w:val="hybridMultilevel"/>
    <w:tmpl w:val="361E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1C2200"/>
    <w:multiLevelType w:val="hybridMultilevel"/>
    <w:tmpl w:val="110EA8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DB10AD7"/>
    <w:multiLevelType w:val="multilevel"/>
    <w:tmpl w:val="6E227E0C"/>
    <w:styleLink w:val="Style1"/>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EC47F45"/>
    <w:multiLevelType w:val="multilevel"/>
    <w:tmpl w:val="5EC47F45"/>
    <w:name w:val="Numbered list 3"/>
    <w:lvl w:ilvl="0">
      <w:start w:val="1"/>
      <w:numFmt w:val="bullet"/>
      <w:lvlText w:val=""/>
      <w:lvlJc w:val="left"/>
      <w:rPr>
        <w:rFonts w:ascii="Symbol" w:hAnsi="Symbol"/>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30" w15:restartNumberingAfterBreak="0">
    <w:nsid w:val="60207791"/>
    <w:multiLevelType w:val="hybridMultilevel"/>
    <w:tmpl w:val="839A0EE4"/>
    <w:lvl w:ilvl="0" w:tplc="DEDAD4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0C61F4"/>
    <w:multiLevelType w:val="multilevel"/>
    <w:tmpl w:val="A3CA17DC"/>
    <w:styleLink w:val="Style7"/>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3C1357F"/>
    <w:multiLevelType w:val="multilevel"/>
    <w:tmpl w:val="BFF6B8F0"/>
    <w:styleLink w:val="Styl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4E86FC0"/>
    <w:multiLevelType w:val="hybridMultilevel"/>
    <w:tmpl w:val="F3B4F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0653FC"/>
    <w:multiLevelType w:val="hybridMultilevel"/>
    <w:tmpl w:val="FFAE6414"/>
    <w:lvl w:ilvl="0" w:tplc="FFFFFFFF">
      <w:start w:val="1"/>
      <w:numFmt w:val="lowerLetter"/>
      <w:lvlText w:val="%1)"/>
      <w:lvlJc w:val="left"/>
      <w:pPr>
        <w:ind w:left="2148" w:hanging="360"/>
      </w:pPr>
    </w:lvl>
    <w:lvl w:ilvl="1" w:tplc="FFFFFFFF" w:tentative="1">
      <w:start w:val="1"/>
      <w:numFmt w:val="lowerLetter"/>
      <w:lvlText w:val="%2."/>
      <w:lvlJc w:val="left"/>
      <w:pPr>
        <w:ind w:left="2868" w:hanging="360"/>
      </w:p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abstractNum w:abstractNumId="35" w15:restartNumberingAfterBreak="0">
    <w:nsid w:val="6C780D94"/>
    <w:multiLevelType w:val="hybridMultilevel"/>
    <w:tmpl w:val="61AC904A"/>
    <w:lvl w:ilvl="0" w:tplc="27740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627DFA"/>
    <w:multiLevelType w:val="hybridMultilevel"/>
    <w:tmpl w:val="69B24C0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7" w15:restartNumberingAfterBreak="0">
    <w:nsid w:val="72B96EFE"/>
    <w:multiLevelType w:val="hybridMultilevel"/>
    <w:tmpl w:val="B1AE10E4"/>
    <w:lvl w:ilvl="0" w:tplc="0C090017">
      <w:start w:val="1"/>
      <w:numFmt w:val="bullet"/>
      <w:lvlText w:val=""/>
      <w:lvlJc w:val="left"/>
      <w:pPr>
        <w:ind w:left="-4320" w:hanging="360"/>
      </w:pPr>
      <w:rPr>
        <w:rFonts w:ascii="Symbol" w:hAnsi="Symbol" w:hint="default"/>
      </w:rPr>
    </w:lvl>
    <w:lvl w:ilvl="1" w:tplc="0C090019" w:tentative="1">
      <w:start w:val="1"/>
      <w:numFmt w:val="bullet"/>
      <w:lvlText w:val="o"/>
      <w:lvlJc w:val="left"/>
      <w:pPr>
        <w:ind w:left="-3600" w:hanging="360"/>
      </w:pPr>
      <w:rPr>
        <w:rFonts w:ascii="Courier New" w:hAnsi="Courier New" w:cs="Courier New" w:hint="default"/>
      </w:rPr>
    </w:lvl>
    <w:lvl w:ilvl="2" w:tplc="0C09001B" w:tentative="1">
      <w:start w:val="1"/>
      <w:numFmt w:val="bullet"/>
      <w:lvlText w:val=""/>
      <w:lvlJc w:val="left"/>
      <w:pPr>
        <w:ind w:left="-2880" w:hanging="360"/>
      </w:pPr>
      <w:rPr>
        <w:rFonts w:ascii="Wingdings" w:hAnsi="Wingdings" w:hint="default"/>
      </w:rPr>
    </w:lvl>
    <w:lvl w:ilvl="3" w:tplc="0C09000F" w:tentative="1">
      <w:start w:val="1"/>
      <w:numFmt w:val="bullet"/>
      <w:lvlText w:val=""/>
      <w:lvlJc w:val="left"/>
      <w:pPr>
        <w:ind w:left="-2160" w:hanging="360"/>
      </w:pPr>
      <w:rPr>
        <w:rFonts w:ascii="Symbol" w:hAnsi="Symbol" w:hint="default"/>
      </w:rPr>
    </w:lvl>
    <w:lvl w:ilvl="4" w:tplc="0C090019" w:tentative="1">
      <w:start w:val="1"/>
      <w:numFmt w:val="bullet"/>
      <w:lvlText w:val="o"/>
      <w:lvlJc w:val="left"/>
      <w:pPr>
        <w:ind w:left="-1440" w:hanging="360"/>
      </w:pPr>
      <w:rPr>
        <w:rFonts w:ascii="Courier New" w:hAnsi="Courier New" w:cs="Courier New" w:hint="default"/>
      </w:rPr>
    </w:lvl>
    <w:lvl w:ilvl="5" w:tplc="0C09001B" w:tentative="1">
      <w:start w:val="1"/>
      <w:numFmt w:val="bullet"/>
      <w:lvlText w:val=""/>
      <w:lvlJc w:val="left"/>
      <w:pPr>
        <w:ind w:left="-720" w:hanging="360"/>
      </w:pPr>
      <w:rPr>
        <w:rFonts w:ascii="Wingdings" w:hAnsi="Wingdings" w:hint="default"/>
      </w:rPr>
    </w:lvl>
    <w:lvl w:ilvl="6" w:tplc="0C09000F" w:tentative="1">
      <w:start w:val="1"/>
      <w:numFmt w:val="bullet"/>
      <w:lvlText w:val=""/>
      <w:lvlJc w:val="left"/>
      <w:pPr>
        <w:ind w:left="0" w:hanging="360"/>
      </w:pPr>
      <w:rPr>
        <w:rFonts w:ascii="Symbol" w:hAnsi="Symbol" w:hint="default"/>
      </w:rPr>
    </w:lvl>
    <w:lvl w:ilvl="7" w:tplc="0C090019" w:tentative="1">
      <w:start w:val="1"/>
      <w:numFmt w:val="bullet"/>
      <w:lvlText w:val="o"/>
      <w:lvlJc w:val="left"/>
      <w:pPr>
        <w:ind w:left="720" w:hanging="360"/>
      </w:pPr>
      <w:rPr>
        <w:rFonts w:ascii="Courier New" w:hAnsi="Courier New" w:cs="Courier New" w:hint="default"/>
      </w:rPr>
    </w:lvl>
    <w:lvl w:ilvl="8" w:tplc="0C09001B" w:tentative="1">
      <w:start w:val="1"/>
      <w:numFmt w:val="bullet"/>
      <w:lvlText w:val=""/>
      <w:lvlJc w:val="left"/>
      <w:pPr>
        <w:ind w:left="1440" w:hanging="360"/>
      </w:pPr>
      <w:rPr>
        <w:rFonts w:ascii="Wingdings" w:hAnsi="Wingdings" w:hint="default"/>
      </w:rPr>
    </w:lvl>
  </w:abstractNum>
  <w:abstractNum w:abstractNumId="38" w15:restartNumberingAfterBreak="0">
    <w:nsid w:val="73A01C32"/>
    <w:multiLevelType w:val="multilevel"/>
    <w:tmpl w:val="0A64E490"/>
    <w:styleLink w:val="Style4"/>
    <w:lvl w:ilvl="0">
      <w:start w:val="1"/>
      <w:numFmt w:val="decimal"/>
      <w:lvlText w:val="%1"/>
      <w:lvlJc w:val="left"/>
      <w:pPr>
        <w:tabs>
          <w:tab w:val="num" w:pos="720"/>
        </w:tabs>
        <w:ind w:left="720" w:hanging="720"/>
      </w:pPr>
      <w:rPr>
        <w:rFonts w:hint="default"/>
      </w:rPr>
    </w:lvl>
    <w:lvl w:ilvl="1">
      <w:start w:val="3"/>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6DE7A8B"/>
    <w:multiLevelType w:val="multilevel"/>
    <w:tmpl w:val="9104C20C"/>
    <w:lvl w:ilvl="0">
      <w:start w:val="3"/>
      <w:numFmt w:val="none"/>
      <w:isLgl/>
      <w:lvlText w:val="7"/>
      <w:lvlJc w:val="left"/>
      <w:pPr>
        <w:tabs>
          <w:tab w:val="num" w:pos="360"/>
        </w:tabs>
        <w:ind w:left="0" w:firstLine="0"/>
      </w:pPr>
      <w:rPr>
        <w:rFonts w:hint="default"/>
      </w:rPr>
    </w:lvl>
    <w:lvl w:ilvl="1">
      <w:start w:val="1"/>
      <w:numFmt w:val="decimal"/>
      <w:lvlRestart w:val="0"/>
      <w:pStyle w:val="Legal2"/>
      <w:isLgl/>
      <w:lvlText w:val="10.%2"/>
      <w:lvlJc w:val="left"/>
      <w:pPr>
        <w:tabs>
          <w:tab w:val="num" w:pos="72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0" w15:restartNumberingAfterBreak="0">
    <w:nsid w:val="7924254E"/>
    <w:multiLevelType w:val="hybridMultilevel"/>
    <w:tmpl w:val="858E2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6023FC"/>
    <w:multiLevelType w:val="multilevel"/>
    <w:tmpl w:val="603C69D0"/>
    <w:styleLink w:val="Style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F390357"/>
    <w:multiLevelType w:val="hybridMultilevel"/>
    <w:tmpl w:val="96361B94"/>
    <w:lvl w:ilvl="0" w:tplc="27740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0806991">
    <w:abstractNumId w:val="1"/>
  </w:num>
  <w:num w:numId="2" w16cid:durableId="955066601">
    <w:abstractNumId w:val="7"/>
  </w:num>
  <w:num w:numId="3" w16cid:durableId="681661612">
    <w:abstractNumId w:val="39"/>
  </w:num>
  <w:num w:numId="4" w16cid:durableId="347099945">
    <w:abstractNumId w:val="28"/>
  </w:num>
  <w:num w:numId="5" w16cid:durableId="281617551">
    <w:abstractNumId w:val="32"/>
  </w:num>
  <w:num w:numId="6" w16cid:durableId="1072311917">
    <w:abstractNumId w:val="18"/>
  </w:num>
  <w:num w:numId="7" w16cid:durableId="1054086979">
    <w:abstractNumId w:val="38"/>
  </w:num>
  <w:num w:numId="8" w16cid:durableId="401369992">
    <w:abstractNumId w:val="21"/>
  </w:num>
  <w:num w:numId="9" w16cid:durableId="45687355">
    <w:abstractNumId w:val="41"/>
  </w:num>
  <w:num w:numId="10" w16cid:durableId="1691756357">
    <w:abstractNumId w:val="31"/>
  </w:num>
  <w:num w:numId="11" w16cid:durableId="1287587830">
    <w:abstractNumId w:val="13"/>
  </w:num>
  <w:num w:numId="12" w16cid:durableId="265771451">
    <w:abstractNumId w:val="20"/>
  </w:num>
  <w:num w:numId="13" w16cid:durableId="357778381">
    <w:abstractNumId w:val="15"/>
  </w:num>
  <w:num w:numId="14" w16cid:durableId="1608350135">
    <w:abstractNumId w:val="24"/>
  </w:num>
  <w:num w:numId="15" w16cid:durableId="994144745">
    <w:abstractNumId w:val="8"/>
  </w:num>
  <w:num w:numId="16" w16cid:durableId="1218202602">
    <w:abstractNumId w:val="27"/>
  </w:num>
  <w:num w:numId="17" w16cid:durableId="126704883">
    <w:abstractNumId w:val="9"/>
  </w:num>
  <w:num w:numId="18" w16cid:durableId="302658008">
    <w:abstractNumId w:val="6"/>
  </w:num>
  <w:num w:numId="19" w16cid:durableId="1769277525">
    <w:abstractNumId w:val="36"/>
  </w:num>
  <w:num w:numId="20" w16cid:durableId="1436948531">
    <w:abstractNumId w:val="12"/>
  </w:num>
  <w:num w:numId="21" w16cid:durableId="26957157">
    <w:abstractNumId w:val="14"/>
  </w:num>
  <w:num w:numId="22" w16cid:durableId="1179585311">
    <w:abstractNumId w:val="30"/>
  </w:num>
  <w:num w:numId="23" w16cid:durableId="1367682484">
    <w:abstractNumId w:val="40"/>
  </w:num>
  <w:num w:numId="24" w16cid:durableId="177089066">
    <w:abstractNumId w:val="42"/>
  </w:num>
  <w:num w:numId="25" w16cid:durableId="889464465">
    <w:abstractNumId w:val="35"/>
  </w:num>
  <w:num w:numId="26" w16cid:durableId="1077291643">
    <w:abstractNumId w:val="4"/>
  </w:num>
  <w:num w:numId="27" w16cid:durableId="1845823359">
    <w:abstractNumId w:val="37"/>
  </w:num>
  <w:num w:numId="28" w16cid:durableId="1157259140">
    <w:abstractNumId w:val="33"/>
  </w:num>
  <w:num w:numId="29" w16cid:durableId="208955024">
    <w:abstractNumId w:val="16"/>
  </w:num>
  <w:num w:numId="30" w16cid:durableId="33508880">
    <w:abstractNumId w:val="23"/>
  </w:num>
  <w:num w:numId="31" w16cid:durableId="2077320223">
    <w:abstractNumId w:val="22"/>
  </w:num>
  <w:num w:numId="32" w16cid:durableId="849880447">
    <w:abstractNumId w:val="0"/>
  </w:num>
  <w:num w:numId="33" w16cid:durableId="832919101">
    <w:abstractNumId w:val="17"/>
  </w:num>
  <w:num w:numId="34" w16cid:durableId="777944521">
    <w:abstractNumId w:val="5"/>
  </w:num>
  <w:num w:numId="35" w16cid:durableId="1342316176">
    <w:abstractNumId w:val="34"/>
  </w:num>
  <w:num w:numId="36" w16cid:durableId="530918116">
    <w:abstractNumId w:val="19"/>
  </w:num>
  <w:num w:numId="37" w16cid:durableId="980302633">
    <w:abstractNumId w:val="2"/>
  </w:num>
  <w:num w:numId="38" w16cid:durableId="665011654">
    <w:abstractNumId w:val="26"/>
  </w:num>
  <w:num w:numId="39" w16cid:durableId="2027442089">
    <w:abstractNumId w:val="29"/>
  </w:num>
  <w:num w:numId="40" w16cid:durableId="1690910821">
    <w:abstractNumId w:val="25"/>
  </w:num>
  <w:num w:numId="41" w16cid:durableId="348722242">
    <w:abstractNumId w:val="10"/>
  </w:num>
  <w:num w:numId="42" w16cid:durableId="464394442">
    <w:abstractNumId w:val="3"/>
  </w:num>
  <w:num w:numId="43" w16cid:durableId="335040934">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3">
      <o:colormru v:ext="edit" colors="#06c"/>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55AC"/>
    <w:rsid w:val="00002387"/>
    <w:rsid w:val="00002C7C"/>
    <w:rsid w:val="00004A9D"/>
    <w:rsid w:val="0000668E"/>
    <w:rsid w:val="000070A8"/>
    <w:rsid w:val="00010C15"/>
    <w:rsid w:val="00010D89"/>
    <w:rsid w:val="00011854"/>
    <w:rsid w:val="00012343"/>
    <w:rsid w:val="00013D2A"/>
    <w:rsid w:val="00014FFD"/>
    <w:rsid w:val="00017E9D"/>
    <w:rsid w:val="000200CC"/>
    <w:rsid w:val="0002327D"/>
    <w:rsid w:val="00024A04"/>
    <w:rsid w:val="00024A50"/>
    <w:rsid w:val="00025529"/>
    <w:rsid w:val="00025D42"/>
    <w:rsid w:val="00032DE5"/>
    <w:rsid w:val="00034E2C"/>
    <w:rsid w:val="00036B49"/>
    <w:rsid w:val="000377BC"/>
    <w:rsid w:val="0004071F"/>
    <w:rsid w:val="00042C2A"/>
    <w:rsid w:val="00045B32"/>
    <w:rsid w:val="00045C7B"/>
    <w:rsid w:val="0004664A"/>
    <w:rsid w:val="00046CC9"/>
    <w:rsid w:val="00046E7E"/>
    <w:rsid w:val="00052E7C"/>
    <w:rsid w:val="000539E1"/>
    <w:rsid w:val="00053ADA"/>
    <w:rsid w:val="00054345"/>
    <w:rsid w:val="00054E3D"/>
    <w:rsid w:val="00055D5B"/>
    <w:rsid w:val="00055DA2"/>
    <w:rsid w:val="00057515"/>
    <w:rsid w:val="00057D21"/>
    <w:rsid w:val="000607E3"/>
    <w:rsid w:val="00060E6D"/>
    <w:rsid w:val="0006350E"/>
    <w:rsid w:val="00063A7C"/>
    <w:rsid w:val="0006619B"/>
    <w:rsid w:val="00067E03"/>
    <w:rsid w:val="0007022A"/>
    <w:rsid w:val="0007068E"/>
    <w:rsid w:val="000718B6"/>
    <w:rsid w:val="00073DCC"/>
    <w:rsid w:val="00073F04"/>
    <w:rsid w:val="00075139"/>
    <w:rsid w:val="00075B84"/>
    <w:rsid w:val="0007645D"/>
    <w:rsid w:val="00076462"/>
    <w:rsid w:val="00080AF5"/>
    <w:rsid w:val="00083949"/>
    <w:rsid w:val="00085D74"/>
    <w:rsid w:val="00086CAA"/>
    <w:rsid w:val="00092B5E"/>
    <w:rsid w:val="00093972"/>
    <w:rsid w:val="000946A1"/>
    <w:rsid w:val="00095406"/>
    <w:rsid w:val="00095DA9"/>
    <w:rsid w:val="000960EB"/>
    <w:rsid w:val="00097C0D"/>
    <w:rsid w:val="000A2A82"/>
    <w:rsid w:val="000A37CE"/>
    <w:rsid w:val="000A38C3"/>
    <w:rsid w:val="000A5F71"/>
    <w:rsid w:val="000A677A"/>
    <w:rsid w:val="000A79D8"/>
    <w:rsid w:val="000A7B29"/>
    <w:rsid w:val="000B3841"/>
    <w:rsid w:val="000B42EA"/>
    <w:rsid w:val="000B58EB"/>
    <w:rsid w:val="000B59F3"/>
    <w:rsid w:val="000B6E0D"/>
    <w:rsid w:val="000C22D3"/>
    <w:rsid w:val="000C2DAF"/>
    <w:rsid w:val="000C3FCC"/>
    <w:rsid w:val="000C6882"/>
    <w:rsid w:val="000D0C39"/>
    <w:rsid w:val="000D13F6"/>
    <w:rsid w:val="000D16F3"/>
    <w:rsid w:val="000D3FEA"/>
    <w:rsid w:val="000D6954"/>
    <w:rsid w:val="000D7A4A"/>
    <w:rsid w:val="000D7D80"/>
    <w:rsid w:val="000E1420"/>
    <w:rsid w:val="000E147B"/>
    <w:rsid w:val="000E3688"/>
    <w:rsid w:val="000E6879"/>
    <w:rsid w:val="000F0060"/>
    <w:rsid w:val="000F021E"/>
    <w:rsid w:val="000F06B4"/>
    <w:rsid w:val="000F0DC2"/>
    <w:rsid w:val="000F2FCF"/>
    <w:rsid w:val="000F4F91"/>
    <w:rsid w:val="000F5834"/>
    <w:rsid w:val="000F7796"/>
    <w:rsid w:val="000F7F80"/>
    <w:rsid w:val="00100227"/>
    <w:rsid w:val="0010105C"/>
    <w:rsid w:val="001039A4"/>
    <w:rsid w:val="0010434C"/>
    <w:rsid w:val="001046E2"/>
    <w:rsid w:val="00105BB3"/>
    <w:rsid w:val="001068E4"/>
    <w:rsid w:val="00107267"/>
    <w:rsid w:val="00107F6E"/>
    <w:rsid w:val="00114A5E"/>
    <w:rsid w:val="00116DA5"/>
    <w:rsid w:val="00121595"/>
    <w:rsid w:val="00122808"/>
    <w:rsid w:val="00123459"/>
    <w:rsid w:val="0012404E"/>
    <w:rsid w:val="00130577"/>
    <w:rsid w:val="00130B3C"/>
    <w:rsid w:val="00131C67"/>
    <w:rsid w:val="00132969"/>
    <w:rsid w:val="00134B69"/>
    <w:rsid w:val="00136A54"/>
    <w:rsid w:val="00137F59"/>
    <w:rsid w:val="001400C9"/>
    <w:rsid w:val="00141BAD"/>
    <w:rsid w:val="00142102"/>
    <w:rsid w:val="00143FA5"/>
    <w:rsid w:val="001446AD"/>
    <w:rsid w:val="00145723"/>
    <w:rsid w:val="001524DC"/>
    <w:rsid w:val="001527C2"/>
    <w:rsid w:val="0016201B"/>
    <w:rsid w:val="00162654"/>
    <w:rsid w:val="001643D9"/>
    <w:rsid w:val="00165E9E"/>
    <w:rsid w:val="00166BFD"/>
    <w:rsid w:val="00167783"/>
    <w:rsid w:val="0017408F"/>
    <w:rsid w:val="00174556"/>
    <w:rsid w:val="00176E5A"/>
    <w:rsid w:val="00184B04"/>
    <w:rsid w:val="00184F59"/>
    <w:rsid w:val="0018660B"/>
    <w:rsid w:val="00186A9A"/>
    <w:rsid w:val="00187EC9"/>
    <w:rsid w:val="001966F1"/>
    <w:rsid w:val="0019684D"/>
    <w:rsid w:val="00197570"/>
    <w:rsid w:val="001A166E"/>
    <w:rsid w:val="001A2323"/>
    <w:rsid w:val="001A2DF2"/>
    <w:rsid w:val="001A3ED1"/>
    <w:rsid w:val="001A4104"/>
    <w:rsid w:val="001A5A90"/>
    <w:rsid w:val="001A5E84"/>
    <w:rsid w:val="001B1DF7"/>
    <w:rsid w:val="001B1EE8"/>
    <w:rsid w:val="001B4936"/>
    <w:rsid w:val="001B64C5"/>
    <w:rsid w:val="001B6A6B"/>
    <w:rsid w:val="001B779F"/>
    <w:rsid w:val="001D32B0"/>
    <w:rsid w:val="001D3FA1"/>
    <w:rsid w:val="001D6E4D"/>
    <w:rsid w:val="001E0D5F"/>
    <w:rsid w:val="001E1CA1"/>
    <w:rsid w:val="001E432D"/>
    <w:rsid w:val="001E4376"/>
    <w:rsid w:val="001E4F39"/>
    <w:rsid w:val="001E73BE"/>
    <w:rsid w:val="001E777B"/>
    <w:rsid w:val="001F44F1"/>
    <w:rsid w:val="001F45EE"/>
    <w:rsid w:val="00200ED1"/>
    <w:rsid w:val="0020139F"/>
    <w:rsid w:val="00203A06"/>
    <w:rsid w:val="00207266"/>
    <w:rsid w:val="002106D6"/>
    <w:rsid w:val="00211D49"/>
    <w:rsid w:val="00213622"/>
    <w:rsid w:val="002142C0"/>
    <w:rsid w:val="002145E8"/>
    <w:rsid w:val="00215CBC"/>
    <w:rsid w:val="00216DA4"/>
    <w:rsid w:val="00217D59"/>
    <w:rsid w:val="0022283C"/>
    <w:rsid w:val="00223020"/>
    <w:rsid w:val="002238E0"/>
    <w:rsid w:val="00223B58"/>
    <w:rsid w:val="00224118"/>
    <w:rsid w:val="00230661"/>
    <w:rsid w:val="00231ECE"/>
    <w:rsid w:val="00236E50"/>
    <w:rsid w:val="00242092"/>
    <w:rsid w:val="00242175"/>
    <w:rsid w:val="0024353B"/>
    <w:rsid w:val="00250540"/>
    <w:rsid w:val="00250F0D"/>
    <w:rsid w:val="0025204D"/>
    <w:rsid w:val="00255D8A"/>
    <w:rsid w:val="00255DBD"/>
    <w:rsid w:val="00256927"/>
    <w:rsid w:val="00264BC4"/>
    <w:rsid w:val="00265731"/>
    <w:rsid w:val="0026753D"/>
    <w:rsid w:val="002759C3"/>
    <w:rsid w:val="00280725"/>
    <w:rsid w:val="0028162C"/>
    <w:rsid w:val="002826CE"/>
    <w:rsid w:val="002842B0"/>
    <w:rsid w:val="002850D3"/>
    <w:rsid w:val="0028638B"/>
    <w:rsid w:val="0028653C"/>
    <w:rsid w:val="00291147"/>
    <w:rsid w:val="002912D8"/>
    <w:rsid w:val="00292684"/>
    <w:rsid w:val="002941C0"/>
    <w:rsid w:val="002943D4"/>
    <w:rsid w:val="00296621"/>
    <w:rsid w:val="00296A9A"/>
    <w:rsid w:val="002A07BA"/>
    <w:rsid w:val="002A1D45"/>
    <w:rsid w:val="002A2A7A"/>
    <w:rsid w:val="002A491D"/>
    <w:rsid w:val="002A6A5C"/>
    <w:rsid w:val="002B11CF"/>
    <w:rsid w:val="002B2D4B"/>
    <w:rsid w:val="002B386D"/>
    <w:rsid w:val="002B6435"/>
    <w:rsid w:val="002B6F9D"/>
    <w:rsid w:val="002C7872"/>
    <w:rsid w:val="002D0A54"/>
    <w:rsid w:val="002D0BE4"/>
    <w:rsid w:val="002D1860"/>
    <w:rsid w:val="002D1C20"/>
    <w:rsid w:val="002D1E42"/>
    <w:rsid w:val="002D1F55"/>
    <w:rsid w:val="002D2F56"/>
    <w:rsid w:val="002D2F61"/>
    <w:rsid w:val="002D342F"/>
    <w:rsid w:val="002D7ACE"/>
    <w:rsid w:val="002D7BB8"/>
    <w:rsid w:val="002D7F8A"/>
    <w:rsid w:val="002E0805"/>
    <w:rsid w:val="002E2E4A"/>
    <w:rsid w:val="002E4045"/>
    <w:rsid w:val="002E479E"/>
    <w:rsid w:val="002E4F39"/>
    <w:rsid w:val="002E6556"/>
    <w:rsid w:val="002E68F3"/>
    <w:rsid w:val="002F35E9"/>
    <w:rsid w:val="002F6525"/>
    <w:rsid w:val="002F7292"/>
    <w:rsid w:val="00301AEF"/>
    <w:rsid w:val="00302E13"/>
    <w:rsid w:val="0030455D"/>
    <w:rsid w:val="00305456"/>
    <w:rsid w:val="00311B71"/>
    <w:rsid w:val="00312D1D"/>
    <w:rsid w:val="003137B6"/>
    <w:rsid w:val="003157A1"/>
    <w:rsid w:val="00315CCD"/>
    <w:rsid w:val="00317247"/>
    <w:rsid w:val="0032017D"/>
    <w:rsid w:val="00324D41"/>
    <w:rsid w:val="00326612"/>
    <w:rsid w:val="00333EC5"/>
    <w:rsid w:val="003345A0"/>
    <w:rsid w:val="00335190"/>
    <w:rsid w:val="00336688"/>
    <w:rsid w:val="00337CD9"/>
    <w:rsid w:val="003406C0"/>
    <w:rsid w:val="0034158E"/>
    <w:rsid w:val="00343528"/>
    <w:rsid w:val="003439B2"/>
    <w:rsid w:val="00347FB5"/>
    <w:rsid w:val="003507CF"/>
    <w:rsid w:val="003525C1"/>
    <w:rsid w:val="00355FA9"/>
    <w:rsid w:val="0035702C"/>
    <w:rsid w:val="00357417"/>
    <w:rsid w:val="00360999"/>
    <w:rsid w:val="0036131C"/>
    <w:rsid w:val="00362598"/>
    <w:rsid w:val="003629E4"/>
    <w:rsid w:val="00363200"/>
    <w:rsid w:val="00363837"/>
    <w:rsid w:val="0036524B"/>
    <w:rsid w:val="00365B88"/>
    <w:rsid w:val="0036696C"/>
    <w:rsid w:val="00370769"/>
    <w:rsid w:val="00371778"/>
    <w:rsid w:val="00372AA5"/>
    <w:rsid w:val="00372F1E"/>
    <w:rsid w:val="0037496C"/>
    <w:rsid w:val="00376755"/>
    <w:rsid w:val="0037742A"/>
    <w:rsid w:val="00377784"/>
    <w:rsid w:val="003805DA"/>
    <w:rsid w:val="00382511"/>
    <w:rsid w:val="003827D6"/>
    <w:rsid w:val="00382815"/>
    <w:rsid w:val="00382D50"/>
    <w:rsid w:val="00384DD6"/>
    <w:rsid w:val="00387F28"/>
    <w:rsid w:val="00391394"/>
    <w:rsid w:val="0039154F"/>
    <w:rsid w:val="00393F42"/>
    <w:rsid w:val="003A076F"/>
    <w:rsid w:val="003A2062"/>
    <w:rsid w:val="003A5603"/>
    <w:rsid w:val="003B0860"/>
    <w:rsid w:val="003B115B"/>
    <w:rsid w:val="003B7C70"/>
    <w:rsid w:val="003C1334"/>
    <w:rsid w:val="003C35A4"/>
    <w:rsid w:val="003C3BAC"/>
    <w:rsid w:val="003C3C37"/>
    <w:rsid w:val="003C52CC"/>
    <w:rsid w:val="003C72FE"/>
    <w:rsid w:val="003C789A"/>
    <w:rsid w:val="003D06EB"/>
    <w:rsid w:val="003D5044"/>
    <w:rsid w:val="003D7AAC"/>
    <w:rsid w:val="003D7FC4"/>
    <w:rsid w:val="003E18DB"/>
    <w:rsid w:val="003E4264"/>
    <w:rsid w:val="003E4E29"/>
    <w:rsid w:val="003E54AE"/>
    <w:rsid w:val="003E6DE8"/>
    <w:rsid w:val="003F0C8B"/>
    <w:rsid w:val="003F288E"/>
    <w:rsid w:val="003F4A84"/>
    <w:rsid w:val="003F4BF5"/>
    <w:rsid w:val="003F5526"/>
    <w:rsid w:val="00400483"/>
    <w:rsid w:val="00400749"/>
    <w:rsid w:val="00401BE3"/>
    <w:rsid w:val="00403180"/>
    <w:rsid w:val="00403C64"/>
    <w:rsid w:val="004060A3"/>
    <w:rsid w:val="00407BB3"/>
    <w:rsid w:val="00407D77"/>
    <w:rsid w:val="00410B4C"/>
    <w:rsid w:val="004110E4"/>
    <w:rsid w:val="00411677"/>
    <w:rsid w:val="00413B18"/>
    <w:rsid w:val="004165DF"/>
    <w:rsid w:val="00417560"/>
    <w:rsid w:val="00417A11"/>
    <w:rsid w:val="00420766"/>
    <w:rsid w:val="004218BF"/>
    <w:rsid w:val="00421990"/>
    <w:rsid w:val="0042270B"/>
    <w:rsid w:val="004235C9"/>
    <w:rsid w:val="004352E1"/>
    <w:rsid w:val="004357CF"/>
    <w:rsid w:val="004362B1"/>
    <w:rsid w:val="0044003A"/>
    <w:rsid w:val="004510B9"/>
    <w:rsid w:val="00452B04"/>
    <w:rsid w:val="00453ABF"/>
    <w:rsid w:val="00453CD7"/>
    <w:rsid w:val="00454206"/>
    <w:rsid w:val="00456A6F"/>
    <w:rsid w:val="00456CC3"/>
    <w:rsid w:val="0045741F"/>
    <w:rsid w:val="004574CD"/>
    <w:rsid w:val="00461289"/>
    <w:rsid w:val="0046164A"/>
    <w:rsid w:val="00461AA4"/>
    <w:rsid w:val="00463A20"/>
    <w:rsid w:val="0046472C"/>
    <w:rsid w:val="0046566F"/>
    <w:rsid w:val="00465B4A"/>
    <w:rsid w:val="004709BF"/>
    <w:rsid w:val="00470B77"/>
    <w:rsid w:val="004717BB"/>
    <w:rsid w:val="00475A95"/>
    <w:rsid w:val="0048206A"/>
    <w:rsid w:val="00482113"/>
    <w:rsid w:val="00485027"/>
    <w:rsid w:val="00486ECA"/>
    <w:rsid w:val="00486F9B"/>
    <w:rsid w:val="00491A6D"/>
    <w:rsid w:val="00491B3F"/>
    <w:rsid w:val="00491E8A"/>
    <w:rsid w:val="00492F28"/>
    <w:rsid w:val="00496E46"/>
    <w:rsid w:val="004A5307"/>
    <w:rsid w:val="004A533D"/>
    <w:rsid w:val="004A5570"/>
    <w:rsid w:val="004A588F"/>
    <w:rsid w:val="004A6746"/>
    <w:rsid w:val="004A7BD1"/>
    <w:rsid w:val="004B09B8"/>
    <w:rsid w:val="004B0EC4"/>
    <w:rsid w:val="004B17F1"/>
    <w:rsid w:val="004B2211"/>
    <w:rsid w:val="004B420F"/>
    <w:rsid w:val="004B43FA"/>
    <w:rsid w:val="004B52CE"/>
    <w:rsid w:val="004B7081"/>
    <w:rsid w:val="004B7E12"/>
    <w:rsid w:val="004B7E97"/>
    <w:rsid w:val="004C0F04"/>
    <w:rsid w:val="004C2D69"/>
    <w:rsid w:val="004C3F60"/>
    <w:rsid w:val="004C4C05"/>
    <w:rsid w:val="004C4E5A"/>
    <w:rsid w:val="004C5C8C"/>
    <w:rsid w:val="004C64A2"/>
    <w:rsid w:val="004C6660"/>
    <w:rsid w:val="004C6C1B"/>
    <w:rsid w:val="004D7758"/>
    <w:rsid w:val="004D77D9"/>
    <w:rsid w:val="004E1458"/>
    <w:rsid w:val="004E39BC"/>
    <w:rsid w:val="004E7867"/>
    <w:rsid w:val="004E7FE1"/>
    <w:rsid w:val="004F05E5"/>
    <w:rsid w:val="004F0D05"/>
    <w:rsid w:val="004F2CB1"/>
    <w:rsid w:val="004F355D"/>
    <w:rsid w:val="004F6516"/>
    <w:rsid w:val="004F7272"/>
    <w:rsid w:val="004F7B2A"/>
    <w:rsid w:val="0050081E"/>
    <w:rsid w:val="0050116E"/>
    <w:rsid w:val="00501371"/>
    <w:rsid w:val="00501AD9"/>
    <w:rsid w:val="00501BA7"/>
    <w:rsid w:val="00502F6F"/>
    <w:rsid w:val="005034DC"/>
    <w:rsid w:val="00504B27"/>
    <w:rsid w:val="00504B65"/>
    <w:rsid w:val="005066FC"/>
    <w:rsid w:val="00506AA1"/>
    <w:rsid w:val="005071EC"/>
    <w:rsid w:val="00512076"/>
    <w:rsid w:val="00512A1C"/>
    <w:rsid w:val="005138DC"/>
    <w:rsid w:val="00514F2A"/>
    <w:rsid w:val="00516B41"/>
    <w:rsid w:val="005200E6"/>
    <w:rsid w:val="00520464"/>
    <w:rsid w:val="00521F02"/>
    <w:rsid w:val="005255CB"/>
    <w:rsid w:val="00527857"/>
    <w:rsid w:val="005278D7"/>
    <w:rsid w:val="00527C46"/>
    <w:rsid w:val="00530097"/>
    <w:rsid w:val="005341DB"/>
    <w:rsid w:val="0053570E"/>
    <w:rsid w:val="00536208"/>
    <w:rsid w:val="005364C6"/>
    <w:rsid w:val="00536A8E"/>
    <w:rsid w:val="00537024"/>
    <w:rsid w:val="005452A3"/>
    <w:rsid w:val="005460BA"/>
    <w:rsid w:val="00550A66"/>
    <w:rsid w:val="00551808"/>
    <w:rsid w:val="0055231A"/>
    <w:rsid w:val="00553106"/>
    <w:rsid w:val="005546B3"/>
    <w:rsid w:val="005552EA"/>
    <w:rsid w:val="00556240"/>
    <w:rsid w:val="005569CA"/>
    <w:rsid w:val="00564EDF"/>
    <w:rsid w:val="00571A72"/>
    <w:rsid w:val="005724E5"/>
    <w:rsid w:val="00572A1C"/>
    <w:rsid w:val="005741A8"/>
    <w:rsid w:val="00574318"/>
    <w:rsid w:val="005759DC"/>
    <w:rsid w:val="005761F4"/>
    <w:rsid w:val="005766E5"/>
    <w:rsid w:val="00581D72"/>
    <w:rsid w:val="0058338E"/>
    <w:rsid w:val="0058625C"/>
    <w:rsid w:val="0058742F"/>
    <w:rsid w:val="00591F48"/>
    <w:rsid w:val="00594A9D"/>
    <w:rsid w:val="005966E5"/>
    <w:rsid w:val="005A2382"/>
    <w:rsid w:val="005A241E"/>
    <w:rsid w:val="005A26B3"/>
    <w:rsid w:val="005A55B5"/>
    <w:rsid w:val="005A671F"/>
    <w:rsid w:val="005B0BFE"/>
    <w:rsid w:val="005B45A3"/>
    <w:rsid w:val="005B4D16"/>
    <w:rsid w:val="005B5153"/>
    <w:rsid w:val="005B638B"/>
    <w:rsid w:val="005C252C"/>
    <w:rsid w:val="005C26C5"/>
    <w:rsid w:val="005C3860"/>
    <w:rsid w:val="005C6A65"/>
    <w:rsid w:val="005C7805"/>
    <w:rsid w:val="005D0AF9"/>
    <w:rsid w:val="005D1EE3"/>
    <w:rsid w:val="005D2121"/>
    <w:rsid w:val="005D2D6A"/>
    <w:rsid w:val="005D7AFD"/>
    <w:rsid w:val="005D7E1A"/>
    <w:rsid w:val="005E1D9E"/>
    <w:rsid w:val="005E222F"/>
    <w:rsid w:val="005E7CE2"/>
    <w:rsid w:val="005F2118"/>
    <w:rsid w:val="005F2DFF"/>
    <w:rsid w:val="005F3386"/>
    <w:rsid w:val="005F3FA8"/>
    <w:rsid w:val="005F410C"/>
    <w:rsid w:val="005F42C3"/>
    <w:rsid w:val="005F42FA"/>
    <w:rsid w:val="005F5FA0"/>
    <w:rsid w:val="00600179"/>
    <w:rsid w:val="00600185"/>
    <w:rsid w:val="006014D0"/>
    <w:rsid w:val="00602327"/>
    <w:rsid w:val="0061215E"/>
    <w:rsid w:val="0061443C"/>
    <w:rsid w:val="00615AFC"/>
    <w:rsid w:val="00616130"/>
    <w:rsid w:val="006168AA"/>
    <w:rsid w:val="0061703E"/>
    <w:rsid w:val="0061743D"/>
    <w:rsid w:val="00617C08"/>
    <w:rsid w:val="00620A5E"/>
    <w:rsid w:val="00622120"/>
    <w:rsid w:val="00622241"/>
    <w:rsid w:val="0062250D"/>
    <w:rsid w:val="00622621"/>
    <w:rsid w:val="00622F02"/>
    <w:rsid w:val="0062439E"/>
    <w:rsid w:val="006251F5"/>
    <w:rsid w:val="0062653D"/>
    <w:rsid w:val="00627859"/>
    <w:rsid w:val="006337A8"/>
    <w:rsid w:val="0064076C"/>
    <w:rsid w:val="00641235"/>
    <w:rsid w:val="00641242"/>
    <w:rsid w:val="00646AAF"/>
    <w:rsid w:val="00647776"/>
    <w:rsid w:val="006505E2"/>
    <w:rsid w:val="00651561"/>
    <w:rsid w:val="006559EC"/>
    <w:rsid w:val="006574CB"/>
    <w:rsid w:val="0065796E"/>
    <w:rsid w:val="00664563"/>
    <w:rsid w:val="00664D04"/>
    <w:rsid w:val="00665025"/>
    <w:rsid w:val="00665187"/>
    <w:rsid w:val="00665656"/>
    <w:rsid w:val="00666478"/>
    <w:rsid w:val="00666521"/>
    <w:rsid w:val="006665AB"/>
    <w:rsid w:val="00666ED4"/>
    <w:rsid w:val="006700F3"/>
    <w:rsid w:val="006708B4"/>
    <w:rsid w:val="006721D6"/>
    <w:rsid w:val="006730E3"/>
    <w:rsid w:val="0067596A"/>
    <w:rsid w:val="006771C6"/>
    <w:rsid w:val="0068176B"/>
    <w:rsid w:val="006817FB"/>
    <w:rsid w:val="00681EFC"/>
    <w:rsid w:val="006838F1"/>
    <w:rsid w:val="006846B6"/>
    <w:rsid w:val="00685A75"/>
    <w:rsid w:val="00686622"/>
    <w:rsid w:val="00690F6B"/>
    <w:rsid w:val="0069109E"/>
    <w:rsid w:val="00692552"/>
    <w:rsid w:val="00692D8A"/>
    <w:rsid w:val="00697032"/>
    <w:rsid w:val="006975D0"/>
    <w:rsid w:val="006A184D"/>
    <w:rsid w:val="006A3906"/>
    <w:rsid w:val="006A4655"/>
    <w:rsid w:val="006A774B"/>
    <w:rsid w:val="006B14FD"/>
    <w:rsid w:val="006B1853"/>
    <w:rsid w:val="006B1A8F"/>
    <w:rsid w:val="006B387F"/>
    <w:rsid w:val="006B4A94"/>
    <w:rsid w:val="006B5533"/>
    <w:rsid w:val="006B6136"/>
    <w:rsid w:val="006B6929"/>
    <w:rsid w:val="006B6949"/>
    <w:rsid w:val="006C27C7"/>
    <w:rsid w:val="006C3B34"/>
    <w:rsid w:val="006C425D"/>
    <w:rsid w:val="006C4E05"/>
    <w:rsid w:val="006C60B3"/>
    <w:rsid w:val="006C6832"/>
    <w:rsid w:val="006D0298"/>
    <w:rsid w:val="006D0580"/>
    <w:rsid w:val="006D0E09"/>
    <w:rsid w:val="006D1182"/>
    <w:rsid w:val="006D1AD1"/>
    <w:rsid w:val="006D3549"/>
    <w:rsid w:val="006D40CF"/>
    <w:rsid w:val="006D4121"/>
    <w:rsid w:val="006D6055"/>
    <w:rsid w:val="006E07B1"/>
    <w:rsid w:val="006E1D56"/>
    <w:rsid w:val="006E3C98"/>
    <w:rsid w:val="006E55CE"/>
    <w:rsid w:val="006E6F91"/>
    <w:rsid w:val="006E7D60"/>
    <w:rsid w:val="006F014C"/>
    <w:rsid w:val="006F13B4"/>
    <w:rsid w:val="006F24B0"/>
    <w:rsid w:val="006F3116"/>
    <w:rsid w:val="006F4000"/>
    <w:rsid w:val="006F5D4B"/>
    <w:rsid w:val="006F7040"/>
    <w:rsid w:val="006F7920"/>
    <w:rsid w:val="00704F3F"/>
    <w:rsid w:val="007051AA"/>
    <w:rsid w:val="00706994"/>
    <w:rsid w:val="007071B5"/>
    <w:rsid w:val="00707B2F"/>
    <w:rsid w:val="00711752"/>
    <w:rsid w:val="007123CB"/>
    <w:rsid w:val="007126DB"/>
    <w:rsid w:val="00713190"/>
    <w:rsid w:val="0071477B"/>
    <w:rsid w:val="007148E7"/>
    <w:rsid w:val="007160CE"/>
    <w:rsid w:val="00721748"/>
    <w:rsid w:val="0072657B"/>
    <w:rsid w:val="007265E4"/>
    <w:rsid w:val="00732862"/>
    <w:rsid w:val="00737B12"/>
    <w:rsid w:val="0074149C"/>
    <w:rsid w:val="007416B7"/>
    <w:rsid w:val="007417FB"/>
    <w:rsid w:val="00743C6A"/>
    <w:rsid w:val="00744F80"/>
    <w:rsid w:val="007461CA"/>
    <w:rsid w:val="00746544"/>
    <w:rsid w:val="00746B9D"/>
    <w:rsid w:val="00747235"/>
    <w:rsid w:val="00747834"/>
    <w:rsid w:val="00747F9C"/>
    <w:rsid w:val="007521AC"/>
    <w:rsid w:val="00752817"/>
    <w:rsid w:val="007547B4"/>
    <w:rsid w:val="00761523"/>
    <w:rsid w:val="00764FE0"/>
    <w:rsid w:val="00766628"/>
    <w:rsid w:val="007678F1"/>
    <w:rsid w:val="00770D73"/>
    <w:rsid w:val="0077451A"/>
    <w:rsid w:val="007749F2"/>
    <w:rsid w:val="00776588"/>
    <w:rsid w:val="0077659E"/>
    <w:rsid w:val="00780267"/>
    <w:rsid w:val="0078253A"/>
    <w:rsid w:val="007879FB"/>
    <w:rsid w:val="00790360"/>
    <w:rsid w:val="007945F2"/>
    <w:rsid w:val="007A0B23"/>
    <w:rsid w:val="007A1614"/>
    <w:rsid w:val="007A1948"/>
    <w:rsid w:val="007A194C"/>
    <w:rsid w:val="007A4D89"/>
    <w:rsid w:val="007A4DCA"/>
    <w:rsid w:val="007B0731"/>
    <w:rsid w:val="007B0BEF"/>
    <w:rsid w:val="007B4172"/>
    <w:rsid w:val="007B4F45"/>
    <w:rsid w:val="007B6C7E"/>
    <w:rsid w:val="007C1B4D"/>
    <w:rsid w:val="007C4ACE"/>
    <w:rsid w:val="007C4D99"/>
    <w:rsid w:val="007D108B"/>
    <w:rsid w:val="007D37A9"/>
    <w:rsid w:val="007E2E6F"/>
    <w:rsid w:val="007E3519"/>
    <w:rsid w:val="007E3BD1"/>
    <w:rsid w:val="007E55C6"/>
    <w:rsid w:val="007E57D2"/>
    <w:rsid w:val="007E5CCC"/>
    <w:rsid w:val="007F1DFA"/>
    <w:rsid w:val="007F317D"/>
    <w:rsid w:val="007F64B2"/>
    <w:rsid w:val="007F6741"/>
    <w:rsid w:val="007F73C6"/>
    <w:rsid w:val="007F7AAD"/>
    <w:rsid w:val="00800A2F"/>
    <w:rsid w:val="00802422"/>
    <w:rsid w:val="00803856"/>
    <w:rsid w:val="00803EAF"/>
    <w:rsid w:val="00807B70"/>
    <w:rsid w:val="0081161E"/>
    <w:rsid w:val="0081323A"/>
    <w:rsid w:val="00815BBF"/>
    <w:rsid w:val="008166A7"/>
    <w:rsid w:val="00821DE3"/>
    <w:rsid w:val="00821F2B"/>
    <w:rsid w:val="00824B03"/>
    <w:rsid w:val="00826B01"/>
    <w:rsid w:val="00831CD7"/>
    <w:rsid w:val="008333AA"/>
    <w:rsid w:val="00834D16"/>
    <w:rsid w:val="00837EEC"/>
    <w:rsid w:val="00842D4E"/>
    <w:rsid w:val="008440AE"/>
    <w:rsid w:val="0084426F"/>
    <w:rsid w:val="00844C88"/>
    <w:rsid w:val="00846B1F"/>
    <w:rsid w:val="008515B8"/>
    <w:rsid w:val="00851759"/>
    <w:rsid w:val="00853B15"/>
    <w:rsid w:val="008556EB"/>
    <w:rsid w:val="0085595A"/>
    <w:rsid w:val="00860E92"/>
    <w:rsid w:val="0086326B"/>
    <w:rsid w:val="0086461E"/>
    <w:rsid w:val="0086467B"/>
    <w:rsid w:val="00865202"/>
    <w:rsid w:val="00865858"/>
    <w:rsid w:val="00866DE0"/>
    <w:rsid w:val="00872C76"/>
    <w:rsid w:val="00873595"/>
    <w:rsid w:val="00881346"/>
    <w:rsid w:val="008A02C3"/>
    <w:rsid w:val="008A1327"/>
    <w:rsid w:val="008A1FC9"/>
    <w:rsid w:val="008A2843"/>
    <w:rsid w:val="008A77EE"/>
    <w:rsid w:val="008B2254"/>
    <w:rsid w:val="008B278B"/>
    <w:rsid w:val="008B36CE"/>
    <w:rsid w:val="008B4423"/>
    <w:rsid w:val="008B5C3D"/>
    <w:rsid w:val="008B7617"/>
    <w:rsid w:val="008B77DA"/>
    <w:rsid w:val="008C1C80"/>
    <w:rsid w:val="008C323D"/>
    <w:rsid w:val="008C5576"/>
    <w:rsid w:val="008C7AF8"/>
    <w:rsid w:val="008D04A0"/>
    <w:rsid w:val="008D0A54"/>
    <w:rsid w:val="008D212B"/>
    <w:rsid w:val="008D4111"/>
    <w:rsid w:val="008D6B2C"/>
    <w:rsid w:val="008D6F89"/>
    <w:rsid w:val="008D717F"/>
    <w:rsid w:val="008D7810"/>
    <w:rsid w:val="008E08B2"/>
    <w:rsid w:val="008E0AD2"/>
    <w:rsid w:val="008E16C2"/>
    <w:rsid w:val="008E3B08"/>
    <w:rsid w:val="008E4377"/>
    <w:rsid w:val="008E6A38"/>
    <w:rsid w:val="008F1127"/>
    <w:rsid w:val="008F19E7"/>
    <w:rsid w:val="008F3DEC"/>
    <w:rsid w:val="008F50E0"/>
    <w:rsid w:val="008F529E"/>
    <w:rsid w:val="008F611D"/>
    <w:rsid w:val="008F709C"/>
    <w:rsid w:val="00901B95"/>
    <w:rsid w:val="00901D1C"/>
    <w:rsid w:val="009044A5"/>
    <w:rsid w:val="00906479"/>
    <w:rsid w:val="009071E2"/>
    <w:rsid w:val="00911845"/>
    <w:rsid w:val="00911C1C"/>
    <w:rsid w:val="009177D2"/>
    <w:rsid w:val="00920407"/>
    <w:rsid w:val="00920D73"/>
    <w:rsid w:val="0092281C"/>
    <w:rsid w:val="00924430"/>
    <w:rsid w:val="00924458"/>
    <w:rsid w:val="0092500C"/>
    <w:rsid w:val="00926A5B"/>
    <w:rsid w:val="009271EF"/>
    <w:rsid w:val="00927B80"/>
    <w:rsid w:val="00931027"/>
    <w:rsid w:val="00936DB9"/>
    <w:rsid w:val="00937E52"/>
    <w:rsid w:val="009403E7"/>
    <w:rsid w:val="00941229"/>
    <w:rsid w:val="009415EF"/>
    <w:rsid w:val="009423D5"/>
    <w:rsid w:val="009432D5"/>
    <w:rsid w:val="00943F49"/>
    <w:rsid w:val="00944892"/>
    <w:rsid w:val="009463BF"/>
    <w:rsid w:val="00951549"/>
    <w:rsid w:val="009525F9"/>
    <w:rsid w:val="009534B1"/>
    <w:rsid w:val="00953E07"/>
    <w:rsid w:val="00956112"/>
    <w:rsid w:val="00961575"/>
    <w:rsid w:val="009623EE"/>
    <w:rsid w:val="00962A77"/>
    <w:rsid w:val="009673EE"/>
    <w:rsid w:val="00973627"/>
    <w:rsid w:val="009757A4"/>
    <w:rsid w:val="00976396"/>
    <w:rsid w:val="00976A0D"/>
    <w:rsid w:val="0097726C"/>
    <w:rsid w:val="00977674"/>
    <w:rsid w:val="00980930"/>
    <w:rsid w:val="009839AD"/>
    <w:rsid w:val="00985FF4"/>
    <w:rsid w:val="009868C3"/>
    <w:rsid w:val="0099104F"/>
    <w:rsid w:val="00996638"/>
    <w:rsid w:val="00997842"/>
    <w:rsid w:val="00997B51"/>
    <w:rsid w:val="00997D79"/>
    <w:rsid w:val="009A2798"/>
    <w:rsid w:val="009A319E"/>
    <w:rsid w:val="009A5A63"/>
    <w:rsid w:val="009A5DC6"/>
    <w:rsid w:val="009A628E"/>
    <w:rsid w:val="009A6549"/>
    <w:rsid w:val="009A6DC0"/>
    <w:rsid w:val="009A6E74"/>
    <w:rsid w:val="009A7548"/>
    <w:rsid w:val="009B0069"/>
    <w:rsid w:val="009B051D"/>
    <w:rsid w:val="009B4DA6"/>
    <w:rsid w:val="009B5F8A"/>
    <w:rsid w:val="009B60BA"/>
    <w:rsid w:val="009C375C"/>
    <w:rsid w:val="009C59C7"/>
    <w:rsid w:val="009D1C83"/>
    <w:rsid w:val="009D21BE"/>
    <w:rsid w:val="009D36D1"/>
    <w:rsid w:val="009D4947"/>
    <w:rsid w:val="009D4969"/>
    <w:rsid w:val="009D6B59"/>
    <w:rsid w:val="009D7A26"/>
    <w:rsid w:val="009E091A"/>
    <w:rsid w:val="009E0C7E"/>
    <w:rsid w:val="009E18DF"/>
    <w:rsid w:val="009E2067"/>
    <w:rsid w:val="009E312E"/>
    <w:rsid w:val="009E77F1"/>
    <w:rsid w:val="009E7BE5"/>
    <w:rsid w:val="009F1177"/>
    <w:rsid w:val="009F1803"/>
    <w:rsid w:val="009F1FEB"/>
    <w:rsid w:val="009F296A"/>
    <w:rsid w:val="009F2B62"/>
    <w:rsid w:val="009F2BEC"/>
    <w:rsid w:val="009F300A"/>
    <w:rsid w:val="009F4940"/>
    <w:rsid w:val="009F59B7"/>
    <w:rsid w:val="009F630E"/>
    <w:rsid w:val="009F6555"/>
    <w:rsid w:val="00A02402"/>
    <w:rsid w:val="00A0250D"/>
    <w:rsid w:val="00A026F0"/>
    <w:rsid w:val="00A044D9"/>
    <w:rsid w:val="00A060F7"/>
    <w:rsid w:val="00A126C7"/>
    <w:rsid w:val="00A12C8E"/>
    <w:rsid w:val="00A147F6"/>
    <w:rsid w:val="00A22B25"/>
    <w:rsid w:val="00A23941"/>
    <w:rsid w:val="00A26617"/>
    <w:rsid w:val="00A316BF"/>
    <w:rsid w:val="00A319CC"/>
    <w:rsid w:val="00A33905"/>
    <w:rsid w:val="00A35F28"/>
    <w:rsid w:val="00A3761C"/>
    <w:rsid w:val="00A37719"/>
    <w:rsid w:val="00A37790"/>
    <w:rsid w:val="00A3792E"/>
    <w:rsid w:val="00A37A33"/>
    <w:rsid w:val="00A37D16"/>
    <w:rsid w:val="00A415DD"/>
    <w:rsid w:val="00A511F4"/>
    <w:rsid w:val="00A527E1"/>
    <w:rsid w:val="00A529A4"/>
    <w:rsid w:val="00A54A64"/>
    <w:rsid w:val="00A54BAF"/>
    <w:rsid w:val="00A55403"/>
    <w:rsid w:val="00A5592A"/>
    <w:rsid w:val="00A559E6"/>
    <w:rsid w:val="00A5666A"/>
    <w:rsid w:val="00A572C0"/>
    <w:rsid w:val="00A614F6"/>
    <w:rsid w:val="00A63108"/>
    <w:rsid w:val="00A713B3"/>
    <w:rsid w:val="00A71C87"/>
    <w:rsid w:val="00A71F8E"/>
    <w:rsid w:val="00A723E6"/>
    <w:rsid w:val="00A73C0E"/>
    <w:rsid w:val="00A75492"/>
    <w:rsid w:val="00A75A69"/>
    <w:rsid w:val="00A76D97"/>
    <w:rsid w:val="00A7718E"/>
    <w:rsid w:val="00A800FF"/>
    <w:rsid w:val="00A80899"/>
    <w:rsid w:val="00A81FAC"/>
    <w:rsid w:val="00A8272B"/>
    <w:rsid w:val="00A832A6"/>
    <w:rsid w:val="00A836F8"/>
    <w:rsid w:val="00A925C8"/>
    <w:rsid w:val="00A94E11"/>
    <w:rsid w:val="00AA6532"/>
    <w:rsid w:val="00AA73E8"/>
    <w:rsid w:val="00AA7BF5"/>
    <w:rsid w:val="00AB28EB"/>
    <w:rsid w:val="00AB429B"/>
    <w:rsid w:val="00AB4A79"/>
    <w:rsid w:val="00AB5D85"/>
    <w:rsid w:val="00AB7EF8"/>
    <w:rsid w:val="00AC0565"/>
    <w:rsid w:val="00AC09F0"/>
    <w:rsid w:val="00AC13BC"/>
    <w:rsid w:val="00AC1680"/>
    <w:rsid w:val="00AC3135"/>
    <w:rsid w:val="00AC3FFF"/>
    <w:rsid w:val="00AC4A97"/>
    <w:rsid w:val="00AD2504"/>
    <w:rsid w:val="00AD3524"/>
    <w:rsid w:val="00AD4DBA"/>
    <w:rsid w:val="00AE0152"/>
    <w:rsid w:val="00AE0224"/>
    <w:rsid w:val="00AE3C4F"/>
    <w:rsid w:val="00AE468B"/>
    <w:rsid w:val="00AE5FE5"/>
    <w:rsid w:val="00AE6C99"/>
    <w:rsid w:val="00AE793C"/>
    <w:rsid w:val="00AF010E"/>
    <w:rsid w:val="00AF0406"/>
    <w:rsid w:val="00AF0820"/>
    <w:rsid w:val="00AF2181"/>
    <w:rsid w:val="00AF2A90"/>
    <w:rsid w:val="00AF3247"/>
    <w:rsid w:val="00AF33EB"/>
    <w:rsid w:val="00AF3FFE"/>
    <w:rsid w:val="00AF5C74"/>
    <w:rsid w:val="00AF6535"/>
    <w:rsid w:val="00AF6FEE"/>
    <w:rsid w:val="00AF77C1"/>
    <w:rsid w:val="00B00740"/>
    <w:rsid w:val="00B02672"/>
    <w:rsid w:val="00B02E51"/>
    <w:rsid w:val="00B035C7"/>
    <w:rsid w:val="00B0361F"/>
    <w:rsid w:val="00B03C11"/>
    <w:rsid w:val="00B04BF4"/>
    <w:rsid w:val="00B075D6"/>
    <w:rsid w:val="00B123EB"/>
    <w:rsid w:val="00B144EC"/>
    <w:rsid w:val="00B145D7"/>
    <w:rsid w:val="00B15481"/>
    <w:rsid w:val="00B168EA"/>
    <w:rsid w:val="00B22B02"/>
    <w:rsid w:val="00B22F05"/>
    <w:rsid w:val="00B26132"/>
    <w:rsid w:val="00B3246D"/>
    <w:rsid w:val="00B333C8"/>
    <w:rsid w:val="00B355C7"/>
    <w:rsid w:val="00B36BBB"/>
    <w:rsid w:val="00B36CB5"/>
    <w:rsid w:val="00B374B1"/>
    <w:rsid w:val="00B375DF"/>
    <w:rsid w:val="00B40A33"/>
    <w:rsid w:val="00B410CF"/>
    <w:rsid w:val="00B41FF0"/>
    <w:rsid w:val="00B427D1"/>
    <w:rsid w:val="00B44147"/>
    <w:rsid w:val="00B44A01"/>
    <w:rsid w:val="00B46BD7"/>
    <w:rsid w:val="00B47010"/>
    <w:rsid w:val="00B517FB"/>
    <w:rsid w:val="00B555CF"/>
    <w:rsid w:val="00B55765"/>
    <w:rsid w:val="00B56C8C"/>
    <w:rsid w:val="00B6198B"/>
    <w:rsid w:val="00B634AE"/>
    <w:rsid w:val="00B6435B"/>
    <w:rsid w:val="00B671D5"/>
    <w:rsid w:val="00B70CDC"/>
    <w:rsid w:val="00B73BD7"/>
    <w:rsid w:val="00B74191"/>
    <w:rsid w:val="00B75800"/>
    <w:rsid w:val="00B776AD"/>
    <w:rsid w:val="00B80501"/>
    <w:rsid w:val="00B8055E"/>
    <w:rsid w:val="00B83DFC"/>
    <w:rsid w:val="00B84FD8"/>
    <w:rsid w:val="00B85C6F"/>
    <w:rsid w:val="00B8666B"/>
    <w:rsid w:val="00B87935"/>
    <w:rsid w:val="00B92A64"/>
    <w:rsid w:val="00BA10F7"/>
    <w:rsid w:val="00BA48F1"/>
    <w:rsid w:val="00BA4D3B"/>
    <w:rsid w:val="00BA71B9"/>
    <w:rsid w:val="00BA7B28"/>
    <w:rsid w:val="00BB245C"/>
    <w:rsid w:val="00BB2947"/>
    <w:rsid w:val="00BB43CD"/>
    <w:rsid w:val="00BB4D4D"/>
    <w:rsid w:val="00BB52A4"/>
    <w:rsid w:val="00BB53D8"/>
    <w:rsid w:val="00BB74F5"/>
    <w:rsid w:val="00BC1B10"/>
    <w:rsid w:val="00BC58E5"/>
    <w:rsid w:val="00BC68D6"/>
    <w:rsid w:val="00BC72AB"/>
    <w:rsid w:val="00BD07D3"/>
    <w:rsid w:val="00BD0F49"/>
    <w:rsid w:val="00BD1219"/>
    <w:rsid w:val="00BD1557"/>
    <w:rsid w:val="00BD1FC9"/>
    <w:rsid w:val="00BD2AFA"/>
    <w:rsid w:val="00BD31DC"/>
    <w:rsid w:val="00BD5148"/>
    <w:rsid w:val="00BD6328"/>
    <w:rsid w:val="00BD6725"/>
    <w:rsid w:val="00BE0B96"/>
    <w:rsid w:val="00BE10BD"/>
    <w:rsid w:val="00BE3655"/>
    <w:rsid w:val="00BE424F"/>
    <w:rsid w:val="00BE5385"/>
    <w:rsid w:val="00BE7711"/>
    <w:rsid w:val="00BF13B2"/>
    <w:rsid w:val="00BF2B1E"/>
    <w:rsid w:val="00BF3967"/>
    <w:rsid w:val="00C01B6A"/>
    <w:rsid w:val="00C04144"/>
    <w:rsid w:val="00C0575D"/>
    <w:rsid w:val="00C07554"/>
    <w:rsid w:val="00C079AE"/>
    <w:rsid w:val="00C07B8F"/>
    <w:rsid w:val="00C100E0"/>
    <w:rsid w:val="00C10920"/>
    <w:rsid w:val="00C123AD"/>
    <w:rsid w:val="00C142B8"/>
    <w:rsid w:val="00C14F94"/>
    <w:rsid w:val="00C155AC"/>
    <w:rsid w:val="00C22035"/>
    <w:rsid w:val="00C23C1D"/>
    <w:rsid w:val="00C24C22"/>
    <w:rsid w:val="00C251B5"/>
    <w:rsid w:val="00C31719"/>
    <w:rsid w:val="00C34062"/>
    <w:rsid w:val="00C36A71"/>
    <w:rsid w:val="00C4252D"/>
    <w:rsid w:val="00C42F29"/>
    <w:rsid w:val="00C43688"/>
    <w:rsid w:val="00C50040"/>
    <w:rsid w:val="00C5182B"/>
    <w:rsid w:val="00C60B9B"/>
    <w:rsid w:val="00C60BC5"/>
    <w:rsid w:val="00C61528"/>
    <w:rsid w:val="00C61A07"/>
    <w:rsid w:val="00C650EE"/>
    <w:rsid w:val="00C66EC6"/>
    <w:rsid w:val="00C7256C"/>
    <w:rsid w:val="00C7313B"/>
    <w:rsid w:val="00C7591E"/>
    <w:rsid w:val="00C7614C"/>
    <w:rsid w:val="00C82531"/>
    <w:rsid w:val="00C826B3"/>
    <w:rsid w:val="00C850FF"/>
    <w:rsid w:val="00C87C31"/>
    <w:rsid w:val="00C87E35"/>
    <w:rsid w:val="00C93EF3"/>
    <w:rsid w:val="00C94BF6"/>
    <w:rsid w:val="00C965FB"/>
    <w:rsid w:val="00CA01AD"/>
    <w:rsid w:val="00CA080B"/>
    <w:rsid w:val="00CA198C"/>
    <w:rsid w:val="00CA20A8"/>
    <w:rsid w:val="00CA332E"/>
    <w:rsid w:val="00CA3F9D"/>
    <w:rsid w:val="00CA5C9D"/>
    <w:rsid w:val="00CA7E96"/>
    <w:rsid w:val="00CB0663"/>
    <w:rsid w:val="00CB073D"/>
    <w:rsid w:val="00CB1460"/>
    <w:rsid w:val="00CB25A7"/>
    <w:rsid w:val="00CB5F54"/>
    <w:rsid w:val="00CC6015"/>
    <w:rsid w:val="00CC6DC5"/>
    <w:rsid w:val="00CD0557"/>
    <w:rsid w:val="00CD5151"/>
    <w:rsid w:val="00CD7E35"/>
    <w:rsid w:val="00CE3379"/>
    <w:rsid w:val="00CE3990"/>
    <w:rsid w:val="00CE5B49"/>
    <w:rsid w:val="00CF0A48"/>
    <w:rsid w:val="00CF0A94"/>
    <w:rsid w:val="00CF0B91"/>
    <w:rsid w:val="00CF79F2"/>
    <w:rsid w:val="00D00423"/>
    <w:rsid w:val="00D01497"/>
    <w:rsid w:val="00D02370"/>
    <w:rsid w:val="00D02EC3"/>
    <w:rsid w:val="00D072A0"/>
    <w:rsid w:val="00D074A2"/>
    <w:rsid w:val="00D07547"/>
    <w:rsid w:val="00D1041C"/>
    <w:rsid w:val="00D11EA1"/>
    <w:rsid w:val="00D12044"/>
    <w:rsid w:val="00D1438A"/>
    <w:rsid w:val="00D1513B"/>
    <w:rsid w:val="00D2086E"/>
    <w:rsid w:val="00D20AA7"/>
    <w:rsid w:val="00D20EA0"/>
    <w:rsid w:val="00D21583"/>
    <w:rsid w:val="00D241B9"/>
    <w:rsid w:val="00D25CDB"/>
    <w:rsid w:val="00D26925"/>
    <w:rsid w:val="00D32C30"/>
    <w:rsid w:val="00D33918"/>
    <w:rsid w:val="00D40355"/>
    <w:rsid w:val="00D40E56"/>
    <w:rsid w:val="00D42937"/>
    <w:rsid w:val="00D42CDA"/>
    <w:rsid w:val="00D43CC7"/>
    <w:rsid w:val="00D43D37"/>
    <w:rsid w:val="00D4416E"/>
    <w:rsid w:val="00D44CB9"/>
    <w:rsid w:val="00D4640A"/>
    <w:rsid w:val="00D46ACF"/>
    <w:rsid w:val="00D50C14"/>
    <w:rsid w:val="00D53111"/>
    <w:rsid w:val="00D55398"/>
    <w:rsid w:val="00D55A41"/>
    <w:rsid w:val="00D56860"/>
    <w:rsid w:val="00D56A50"/>
    <w:rsid w:val="00D647C5"/>
    <w:rsid w:val="00D65732"/>
    <w:rsid w:val="00D67C87"/>
    <w:rsid w:val="00D67FF1"/>
    <w:rsid w:val="00D71D78"/>
    <w:rsid w:val="00D72304"/>
    <w:rsid w:val="00D73666"/>
    <w:rsid w:val="00D7379C"/>
    <w:rsid w:val="00D75D01"/>
    <w:rsid w:val="00D774ED"/>
    <w:rsid w:val="00D778D1"/>
    <w:rsid w:val="00D83CED"/>
    <w:rsid w:val="00D840FA"/>
    <w:rsid w:val="00D9351E"/>
    <w:rsid w:val="00D94FBC"/>
    <w:rsid w:val="00D95A27"/>
    <w:rsid w:val="00D960AC"/>
    <w:rsid w:val="00D96C67"/>
    <w:rsid w:val="00DA161B"/>
    <w:rsid w:val="00DA2DB7"/>
    <w:rsid w:val="00DA3C29"/>
    <w:rsid w:val="00DA4C2E"/>
    <w:rsid w:val="00DA53F2"/>
    <w:rsid w:val="00DA5847"/>
    <w:rsid w:val="00DA6C64"/>
    <w:rsid w:val="00DB0EE0"/>
    <w:rsid w:val="00DB10B4"/>
    <w:rsid w:val="00DB3ABD"/>
    <w:rsid w:val="00DB5816"/>
    <w:rsid w:val="00DB7390"/>
    <w:rsid w:val="00DB7653"/>
    <w:rsid w:val="00DC3F36"/>
    <w:rsid w:val="00DC3FB6"/>
    <w:rsid w:val="00DC52B5"/>
    <w:rsid w:val="00DC53DC"/>
    <w:rsid w:val="00DC58EF"/>
    <w:rsid w:val="00DC5925"/>
    <w:rsid w:val="00DC73F2"/>
    <w:rsid w:val="00DD0570"/>
    <w:rsid w:val="00DD1ED5"/>
    <w:rsid w:val="00DD4300"/>
    <w:rsid w:val="00DD50DE"/>
    <w:rsid w:val="00DE142D"/>
    <w:rsid w:val="00DE2A7D"/>
    <w:rsid w:val="00DE3452"/>
    <w:rsid w:val="00DE39F1"/>
    <w:rsid w:val="00DE4B79"/>
    <w:rsid w:val="00DE6444"/>
    <w:rsid w:val="00DE6ECE"/>
    <w:rsid w:val="00DE7C64"/>
    <w:rsid w:val="00DF004D"/>
    <w:rsid w:val="00DF0827"/>
    <w:rsid w:val="00DF218B"/>
    <w:rsid w:val="00DF2F42"/>
    <w:rsid w:val="00DF501D"/>
    <w:rsid w:val="00DF699C"/>
    <w:rsid w:val="00DF729C"/>
    <w:rsid w:val="00E00AFD"/>
    <w:rsid w:val="00E02DD1"/>
    <w:rsid w:val="00E05861"/>
    <w:rsid w:val="00E11786"/>
    <w:rsid w:val="00E11B05"/>
    <w:rsid w:val="00E124DA"/>
    <w:rsid w:val="00E12E6B"/>
    <w:rsid w:val="00E13C1C"/>
    <w:rsid w:val="00E1465C"/>
    <w:rsid w:val="00E15B57"/>
    <w:rsid w:val="00E179A0"/>
    <w:rsid w:val="00E20824"/>
    <w:rsid w:val="00E23253"/>
    <w:rsid w:val="00E26A58"/>
    <w:rsid w:val="00E30EE1"/>
    <w:rsid w:val="00E32C81"/>
    <w:rsid w:val="00E342E6"/>
    <w:rsid w:val="00E34506"/>
    <w:rsid w:val="00E345C2"/>
    <w:rsid w:val="00E34A66"/>
    <w:rsid w:val="00E419EC"/>
    <w:rsid w:val="00E44AC2"/>
    <w:rsid w:val="00E50AC8"/>
    <w:rsid w:val="00E534FE"/>
    <w:rsid w:val="00E5430B"/>
    <w:rsid w:val="00E5453E"/>
    <w:rsid w:val="00E55A4B"/>
    <w:rsid w:val="00E643DB"/>
    <w:rsid w:val="00E65590"/>
    <w:rsid w:val="00E656B7"/>
    <w:rsid w:val="00E6635B"/>
    <w:rsid w:val="00E67775"/>
    <w:rsid w:val="00E70B70"/>
    <w:rsid w:val="00E73BAC"/>
    <w:rsid w:val="00E75F2F"/>
    <w:rsid w:val="00E764C1"/>
    <w:rsid w:val="00E76903"/>
    <w:rsid w:val="00E76A45"/>
    <w:rsid w:val="00E81149"/>
    <w:rsid w:val="00E82508"/>
    <w:rsid w:val="00E82858"/>
    <w:rsid w:val="00E85496"/>
    <w:rsid w:val="00E87262"/>
    <w:rsid w:val="00E87F8E"/>
    <w:rsid w:val="00E90431"/>
    <w:rsid w:val="00E90C57"/>
    <w:rsid w:val="00E91118"/>
    <w:rsid w:val="00E9125F"/>
    <w:rsid w:val="00E91EDB"/>
    <w:rsid w:val="00E93C16"/>
    <w:rsid w:val="00E93F83"/>
    <w:rsid w:val="00E94F5C"/>
    <w:rsid w:val="00E950D0"/>
    <w:rsid w:val="00E969F4"/>
    <w:rsid w:val="00E97132"/>
    <w:rsid w:val="00EA183C"/>
    <w:rsid w:val="00EA271E"/>
    <w:rsid w:val="00EA2F39"/>
    <w:rsid w:val="00EA4C2F"/>
    <w:rsid w:val="00EA50FF"/>
    <w:rsid w:val="00EA5B11"/>
    <w:rsid w:val="00EA6521"/>
    <w:rsid w:val="00EA7733"/>
    <w:rsid w:val="00EB2CB0"/>
    <w:rsid w:val="00EB30BD"/>
    <w:rsid w:val="00EB3138"/>
    <w:rsid w:val="00EB3AD3"/>
    <w:rsid w:val="00EB6DF6"/>
    <w:rsid w:val="00EC2096"/>
    <w:rsid w:val="00EC21E7"/>
    <w:rsid w:val="00EC2AFE"/>
    <w:rsid w:val="00EC3101"/>
    <w:rsid w:val="00EC4F44"/>
    <w:rsid w:val="00EC7210"/>
    <w:rsid w:val="00ED0D57"/>
    <w:rsid w:val="00ED2571"/>
    <w:rsid w:val="00ED2875"/>
    <w:rsid w:val="00ED3EFE"/>
    <w:rsid w:val="00ED504C"/>
    <w:rsid w:val="00ED58C6"/>
    <w:rsid w:val="00ED6F4C"/>
    <w:rsid w:val="00ED7E65"/>
    <w:rsid w:val="00EE103F"/>
    <w:rsid w:val="00EE1DE7"/>
    <w:rsid w:val="00EE2010"/>
    <w:rsid w:val="00EE2B96"/>
    <w:rsid w:val="00EE35C9"/>
    <w:rsid w:val="00EE4B7B"/>
    <w:rsid w:val="00EE6CD0"/>
    <w:rsid w:val="00EF2882"/>
    <w:rsid w:val="00EF28DD"/>
    <w:rsid w:val="00EF642F"/>
    <w:rsid w:val="00EF768B"/>
    <w:rsid w:val="00F015F3"/>
    <w:rsid w:val="00F03416"/>
    <w:rsid w:val="00F046D8"/>
    <w:rsid w:val="00F053E8"/>
    <w:rsid w:val="00F06CF0"/>
    <w:rsid w:val="00F121CE"/>
    <w:rsid w:val="00F1270E"/>
    <w:rsid w:val="00F14339"/>
    <w:rsid w:val="00F1509D"/>
    <w:rsid w:val="00F163F5"/>
    <w:rsid w:val="00F171FD"/>
    <w:rsid w:val="00F25F3F"/>
    <w:rsid w:val="00F26D57"/>
    <w:rsid w:val="00F27989"/>
    <w:rsid w:val="00F31FAE"/>
    <w:rsid w:val="00F32121"/>
    <w:rsid w:val="00F334F2"/>
    <w:rsid w:val="00F345D5"/>
    <w:rsid w:val="00F35737"/>
    <w:rsid w:val="00F3614F"/>
    <w:rsid w:val="00F4051C"/>
    <w:rsid w:val="00F4081E"/>
    <w:rsid w:val="00F44E7D"/>
    <w:rsid w:val="00F45F87"/>
    <w:rsid w:val="00F46063"/>
    <w:rsid w:val="00F50C85"/>
    <w:rsid w:val="00F51EA9"/>
    <w:rsid w:val="00F54B43"/>
    <w:rsid w:val="00F57626"/>
    <w:rsid w:val="00F577C5"/>
    <w:rsid w:val="00F60D60"/>
    <w:rsid w:val="00F61CE1"/>
    <w:rsid w:val="00F62AE1"/>
    <w:rsid w:val="00F63173"/>
    <w:rsid w:val="00F63EA2"/>
    <w:rsid w:val="00F6565C"/>
    <w:rsid w:val="00F71067"/>
    <w:rsid w:val="00F72A00"/>
    <w:rsid w:val="00F75C84"/>
    <w:rsid w:val="00F806DD"/>
    <w:rsid w:val="00F8545C"/>
    <w:rsid w:val="00F85BAE"/>
    <w:rsid w:val="00F866EA"/>
    <w:rsid w:val="00F8674E"/>
    <w:rsid w:val="00F87029"/>
    <w:rsid w:val="00F875D6"/>
    <w:rsid w:val="00F9163D"/>
    <w:rsid w:val="00F964E9"/>
    <w:rsid w:val="00FA09FE"/>
    <w:rsid w:val="00FA3A0C"/>
    <w:rsid w:val="00FA51A0"/>
    <w:rsid w:val="00FA5636"/>
    <w:rsid w:val="00FB13A7"/>
    <w:rsid w:val="00FB5845"/>
    <w:rsid w:val="00FC08AC"/>
    <w:rsid w:val="00FC2472"/>
    <w:rsid w:val="00FC4ED1"/>
    <w:rsid w:val="00FD20E3"/>
    <w:rsid w:val="00FD26D4"/>
    <w:rsid w:val="00FD2B7F"/>
    <w:rsid w:val="00FD2F11"/>
    <w:rsid w:val="00FD6457"/>
    <w:rsid w:val="00FD7BFA"/>
    <w:rsid w:val="00FE18FB"/>
    <w:rsid w:val="00FE1DD9"/>
    <w:rsid w:val="00FE3BDF"/>
    <w:rsid w:val="00FE4564"/>
    <w:rsid w:val="00FE71D4"/>
    <w:rsid w:val="00FE7A46"/>
    <w:rsid w:val="00FF07D0"/>
    <w:rsid w:val="00FF1EAF"/>
    <w:rsid w:val="00FF68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colormru v:ext="edit" colors="#06c"/>
    </o:shapedefaults>
    <o:shapelayout v:ext="edit">
      <o:idmap v:ext="edit" data="2"/>
    </o:shapelayout>
  </w:shapeDefaults>
  <w:decimalSymbol w:val="."/>
  <w:listSeparator w:val=","/>
  <w14:docId w14:val="24E6BEEA"/>
  <w15:docId w15:val="{BEA220A7-C597-415C-8E62-E873FE4F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1CF"/>
    <w:rPr>
      <w:rFonts w:ascii="Calibri" w:hAnsi="Calibri"/>
      <w:spacing w:val="6"/>
      <w:sz w:val="22"/>
      <w:lang w:val="en-GB" w:eastAsia="en-US"/>
    </w:rPr>
  </w:style>
  <w:style w:type="paragraph" w:styleId="Heading1">
    <w:name w:val="heading 1"/>
    <w:basedOn w:val="Normal"/>
    <w:next w:val="Normal"/>
    <w:link w:val="Heading1Char"/>
    <w:autoRedefine/>
    <w:qFormat/>
    <w:rsid w:val="00C31719"/>
    <w:pPr>
      <w:keepNext/>
      <w:numPr>
        <w:numId w:val="14"/>
      </w:numPr>
      <w:spacing w:before="120" w:after="120"/>
      <w:outlineLvl w:val="0"/>
    </w:pPr>
    <w:rPr>
      <w:b/>
      <w:kern w:val="28"/>
      <w:sz w:val="28"/>
    </w:rPr>
  </w:style>
  <w:style w:type="paragraph" w:styleId="Heading2">
    <w:name w:val="heading 2"/>
    <w:basedOn w:val="Normal"/>
    <w:next w:val="Normal"/>
    <w:link w:val="Heading2Char"/>
    <w:autoRedefine/>
    <w:qFormat/>
    <w:rsid w:val="0002327D"/>
    <w:pPr>
      <w:keepNext/>
      <w:numPr>
        <w:ilvl w:val="1"/>
        <w:numId w:val="14"/>
      </w:numPr>
      <w:tabs>
        <w:tab w:val="clear" w:pos="851"/>
      </w:tabs>
      <w:spacing w:before="120" w:after="120"/>
      <w:outlineLvl w:val="1"/>
    </w:pPr>
    <w:rPr>
      <w:b/>
    </w:rPr>
  </w:style>
  <w:style w:type="paragraph" w:styleId="Heading3">
    <w:name w:val="heading 3"/>
    <w:basedOn w:val="Normal"/>
    <w:next w:val="Normal"/>
    <w:link w:val="Heading3Char"/>
    <w:qFormat/>
    <w:rsid w:val="006B6949"/>
    <w:pPr>
      <w:keepNext/>
      <w:numPr>
        <w:ilvl w:val="2"/>
        <w:numId w:val="14"/>
      </w:numPr>
      <w:spacing w:before="120" w:after="120"/>
      <w:ind w:left="0" w:firstLine="0"/>
      <w:outlineLvl w:val="2"/>
    </w:pPr>
    <w:rPr>
      <w:b/>
    </w:rPr>
  </w:style>
  <w:style w:type="paragraph" w:styleId="Heading4">
    <w:name w:val="heading 4"/>
    <w:basedOn w:val="Normal"/>
    <w:next w:val="Normal"/>
    <w:qFormat/>
    <w:pPr>
      <w:keepNext/>
      <w:numPr>
        <w:ilvl w:val="3"/>
        <w:numId w:val="14"/>
      </w:numPr>
      <w:jc w:val="center"/>
      <w:outlineLvl w:val="3"/>
    </w:pPr>
    <w:rPr>
      <w:b/>
      <w:spacing w:val="0"/>
      <w:sz w:val="24"/>
    </w:rPr>
  </w:style>
  <w:style w:type="paragraph" w:styleId="Heading5">
    <w:name w:val="heading 5"/>
    <w:basedOn w:val="Normal"/>
    <w:next w:val="Normal"/>
    <w:qFormat/>
    <w:pPr>
      <w:keepNext/>
      <w:widowControl w:val="0"/>
      <w:numPr>
        <w:ilvl w:val="4"/>
        <w:numId w:val="14"/>
      </w:numPr>
      <w:tabs>
        <w:tab w:val="right" w:pos="8228"/>
      </w:tabs>
      <w:jc w:val="right"/>
      <w:outlineLvl w:val="4"/>
    </w:pPr>
    <w:rPr>
      <w:sz w:val="32"/>
    </w:rPr>
  </w:style>
  <w:style w:type="paragraph" w:styleId="Heading6">
    <w:name w:val="heading 6"/>
    <w:basedOn w:val="Normal"/>
    <w:next w:val="Normal"/>
    <w:qFormat/>
    <w:pPr>
      <w:keepNext/>
      <w:numPr>
        <w:ilvl w:val="5"/>
        <w:numId w:val="14"/>
      </w:numPr>
      <w:jc w:val="both"/>
      <w:outlineLvl w:val="5"/>
    </w:pPr>
    <w:rPr>
      <w:b/>
      <w:bCs/>
      <w:spacing w:val="0"/>
      <w:sz w:val="24"/>
    </w:rPr>
  </w:style>
  <w:style w:type="paragraph" w:styleId="Heading7">
    <w:name w:val="heading 7"/>
    <w:basedOn w:val="Normal"/>
    <w:next w:val="Normal"/>
    <w:qFormat/>
    <w:pPr>
      <w:keepNext/>
      <w:numPr>
        <w:ilvl w:val="6"/>
        <w:numId w:val="14"/>
      </w:numPr>
      <w:jc w:val="both"/>
      <w:outlineLvl w:val="6"/>
    </w:pPr>
    <w:rPr>
      <w:i/>
      <w:iCs/>
      <w:spacing w:val="0"/>
      <w:sz w:val="24"/>
    </w:rPr>
  </w:style>
  <w:style w:type="paragraph" w:styleId="Heading8">
    <w:name w:val="heading 8"/>
    <w:basedOn w:val="Normal"/>
    <w:next w:val="Normal"/>
    <w:qFormat/>
    <w:pPr>
      <w:keepNext/>
      <w:numPr>
        <w:ilvl w:val="7"/>
        <w:numId w:val="14"/>
      </w:numPr>
      <w:outlineLvl w:val="7"/>
    </w:pPr>
    <w:rPr>
      <w:rFonts w:cs="Arial"/>
      <w:b/>
      <w:bCs/>
    </w:rPr>
  </w:style>
  <w:style w:type="paragraph" w:styleId="Heading9">
    <w:name w:val="heading 9"/>
    <w:basedOn w:val="Normal"/>
    <w:next w:val="Normal"/>
    <w:qFormat/>
    <w:pPr>
      <w:keepNext/>
      <w:numPr>
        <w:ilvl w:val="8"/>
        <w:numId w:val="14"/>
      </w:numPr>
      <w:jc w:val="both"/>
      <w:outlineLvl w:val="8"/>
    </w:pPr>
    <w:rPr>
      <w:i/>
      <w:iCs/>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41235"/>
    <w:pPr>
      <w:tabs>
        <w:tab w:val="left" w:pos="567"/>
        <w:tab w:val="right" w:leader="dot" w:pos="9019"/>
      </w:tabs>
      <w:spacing w:before="120" w:after="120"/>
    </w:pPr>
    <w:rPr>
      <w:rFonts w:cs="Calibri"/>
      <w:b/>
      <w:bCs/>
      <w:iCs/>
      <w:szCs w:val="24"/>
    </w:rPr>
  </w:style>
  <w:style w:type="paragraph" w:styleId="ListBullet">
    <w:name w:val="List Bullet"/>
    <w:aliases w:val="1"/>
    <w:basedOn w:val="Normal"/>
    <w:autoRedefine/>
    <w:rsid w:val="000E147B"/>
    <w:pPr>
      <w:jc w:val="both"/>
    </w:pPr>
    <w:rPr>
      <w:rFonts w:ascii="Corbel" w:eastAsia="Arial Unicode MS" w:hAnsi="Corbel"/>
      <w:bCs/>
      <w:sz w:val="24"/>
      <w:szCs w:val="24"/>
    </w:rPr>
  </w:style>
  <w:style w:type="paragraph" w:styleId="ListNumber">
    <w:name w:val="List Number"/>
    <w:basedOn w:val="Normal"/>
    <w:pPr>
      <w:numPr>
        <w:numId w:val="1"/>
      </w:numPr>
    </w:pPr>
  </w:style>
  <w:style w:type="paragraph" w:styleId="TOC2">
    <w:name w:val="toc 2"/>
    <w:basedOn w:val="Normal"/>
    <w:next w:val="Normal"/>
    <w:autoRedefine/>
    <w:uiPriority w:val="39"/>
    <w:qFormat/>
    <w:rsid w:val="00641235"/>
    <w:pPr>
      <w:tabs>
        <w:tab w:val="left" w:pos="1134"/>
        <w:tab w:val="right" w:leader="dot" w:pos="9019"/>
      </w:tabs>
      <w:spacing w:before="120"/>
      <w:ind w:left="567"/>
    </w:pPr>
    <w:rPr>
      <w:rFonts w:cs="Calibri"/>
      <w:bCs/>
      <w:noProof/>
      <w:szCs w:val="22"/>
    </w:rPr>
  </w:style>
  <w:style w:type="paragraph" w:styleId="TOC3">
    <w:name w:val="toc 3"/>
    <w:basedOn w:val="Normal"/>
    <w:next w:val="Normal"/>
    <w:autoRedefine/>
    <w:uiPriority w:val="39"/>
    <w:qFormat/>
    <w:pPr>
      <w:ind w:left="480"/>
    </w:pPr>
    <w:rPr>
      <w:rFonts w:cs="Calibri"/>
      <w:sz w:val="20"/>
    </w:rPr>
  </w:style>
  <w:style w:type="paragraph" w:customStyle="1" w:styleId="Body">
    <w:name w:val="Body"/>
    <w:basedOn w:val="Normal"/>
    <w:pPr>
      <w:jc w:val="both"/>
    </w:pPr>
    <w:rPr>
      <w:spacing w:val="0"/>
      <w:sz w:val="24"/>
    </w:rPr>
  </w:style>
  <w:style w:type="paragraph" w:customStyle="1" w:styleId="Legal1">
    <w:name w:val="Legal 1"/>
    <w:basedOn w:val="Normal"/>
    <w:pPr>
      <w:keepLines/>
      <w:widowControl w:val="0"/>
      <w:numPr>
        <w:numId w:val="2"/>
      </w:numPr>
      <w:overflowPunct w:val="0"/>
      <w:autoSpaceDE w:val="0"/>
      <w:autoSpaceDN w:val="0"/>
      <w:adjustRightInd w:val="0"/>
      <w:spacing w:after="240"/>
      <w:textAlignment w:val="baseline"/>
    </w:pPr>
    <w:rPr>
      <w:b/>
      <w:caps/>
      <w:spacing w:val="0"/>
      <w:sz w:val="24"/>
    </w:rPr>
  </w:style>
  <w:style w:type="paragraph" w:customStyle="1" w:styleId="Legal3">
    <w:name w:val="Legal 3"/>
    <w:basedOn w:val="Normal"/>
    <w:pPr>
      <w:numPr>
        <w:ilvl w:val="2"/>
        <w:numId w:val="2"/>
      </w:numPr>
      <w:spacing w:after="240"/>
      <w:jc w:val="both"/>
      <w:outlineLvl w:val="2"/>
    </w:pPr>
    <w:rPr>
      <w:bCs/>
      <w:spacing w:val="0"/>
      <w:sz w:val="24"/>
    </w:rPr>
  </w:style>
  <w:style w:type="paragraph" w:styleId="Title">
    <w:name w:val="Title"/>
    <w:basedOn w:val="Normal"/>
    <w:qFormat/>
    <w:pPr>
      <w:jc w:val="center"/>
    </w:pPr>
    <w:rPr>
      <w:b/>
      <w:spacing w:val="0"/>
      <w:sz w:val="24"/>
    </w:rPr>
  </w:style>
  <w:style w:type="paragraph" w:styleId="BodyText">
    <w:name w:val="Body Text"/>
    <w:basedOn w:val="Normal"/>
    <w:pPr>
      <w:jc w:val="both"/>
    </w:pPr>
    <w:rPr>
      <w:color w:val="FF0000"/>
      <w:spacing w:val="0"/>
      <w:sz w:val="24"/>
    </w:rPr>
  </w:style>
  <w:style w:type="paragraph" w:customStyle="1" w:styleId="TableContents">
    <w:name w:val="Table Contents"/>
    <w:rsid w:val="002B6435"/>
    <w:pPr>
      <w:spacing w:before="60" w:after="60"/>
    </w:pPr>
    <w:rPr>
      <w:rFonts w:ascii="Calibri" w:eastAsia="Times" w:hAnsi="Calibri"/>
      <w:sz w:val="22"/>
      <w:lang w:val="en-GB" w:eastAsia="en-US"/>
    </w:rPr>
  </w:style>
  <w:style w:type="paragraph" w:customStyle="1" w:styleId="ColorfulGrid-Accent11">
    <w:name w:val="Colorful Grid - Accent 11"/>
    <w:basedOn w:val="BodyText"/>
    <w:next w:val="BodyText"/>
    <w:qFormat/>
    <w:pPr>
      <w:spacing w:after="120"/>
      <w:ind w:left="720" w:hanging="144"/>
      <w:jc w:val="left"/>
    </w:pPr>
    <w:rPr>
      <w:rFonts w:eastAsia="Times"/>
      <w:color w:val="auto"/>
      <w:sz w:val="22"/>
    </w:rPr>
  </w:style>
  <w:style w:type="paragraph" w:styleId="BodyText2">
    <w:name w:val="Body Text 2"/>
    <w:basedOn w:val="Normal"/>
    <w:pPr>
      <w:jc w:val="both"/>
    </w:pPr>
    <w:rPr>
      <w:i/>
      <w:iCs/>
      <w:color w:val="FF0000"/>
      <w:spacing w:val="0"/>
      <w:sz w:val="24"/>
    </w:rPr>
  </w:style>
  <w:style w:type="paragraph" w:customStyle="1" w:styleId="Legal2">
    <w:name w:val="Legal 2"/>
    <w:basedOn w:val="Normal"/>
    <w:pPr>
      <w:numPr>
        <w:ilvl w:val="1"/>
        <w:numId w:val="3"/>
      </w:numPr>
      <w:spacing w:after="240"/>
      <w:jc w:val="both"/>
      <w:outlineLvl w:val="1"/>
    </w:pPr>
    <w:rPr>
      <w:b/>
      <w:bCs/>
      <w:spacing w:val="0"/>
    </w:rPr>
  </w:style>
  <w:style w:type="paragraph" w:styleId="TOC4">
    <w:name w:val="toc 4"/>
    <w:basedOn w:val="Normal"/>
    <w:next w:val="Normal"/>
    <w:autoRedefine/>
    <w:uiPriority w:val="39"/>
    <w:pPr>
      <w:ind w:left="720"/>
    </w:pPr>
    <w:rPr>
      <w:rFonts w:cs="Calibri"/>
      <w:sz w:val="20"/>
    </w:rPr>
  </w:style>
  <w:style w:type="paragraph" w:styleId="FootnoteText">
    <w:name w:val="footnote text"/>
    <w:basedOn w:val="Normal"/>
    <w:semiHidden/>
    <w:pPr>
      <w:overflowPunct w:val="0"/>
      <w:autoSpaceDE w:val="0"/>
      <w:autoSpaceDN w:val="0"/>
      <w:adjustRightInd w:val="0"/>
      <w:textAlignment w:val="baseline"/>
    </w:pPr>
    <w:rPr>
      <w:spacing w:val="0"/>
      <w:sz w:val="20"/>
    </w:rPr>
  </w:style>
  <w:style w:type="paragraph" w:customStyle="1" w:styleId="TableTitle">
    <w:name w:val="Table Title"/>
    <w:basedOn w:val="BodyText"/>
    <w:pPr>
      <w:spacing w:after="120"/>
      <w:ind w:left="720"/>
      <w:jc w:val="center"/>
    </w:pPr>
    <w:rPr>
      <w:rFonts w:eastAsia="Times"/>
      <w:b/>
      <w:color w:val="auto"/>
      <w:sz w:val="22"/>
    </w:rPr>
  </w:style>
  <w:style w:type="paragraph" w:styleId="Footer">
    <w:name w:val="footer"/>
    <w:basedOn w:val="Normal"/>
    <w:link w:val="FooterChar"/>
    <w:uiPriority w:val="99"/>
    <w:pPr>
      <w:tabs>
        <w:tab w:val="center" w:pos="4153"/>
        <w:tab w:val="right" w:pos="8306"/>
      </w:tabs>
      <w:ind w:left="720"/>
      <w:jc w:val="both"/>
    </w:pPr>
    <w:rPr>
      <w:rFonts w:ascii="Arial" w:hAnsi="Arial"/>
      <w:spacing w:val="0"/>
      <w:sz w:val="24"/>
    </w:rPr>
  </w:style>
  <w:style w:type="paragraph" w:styleId="BodyTextIndent">
    <w:name w:val="Body Text Indent"/>
    <w:basedOn w:val="Normal"/>
    <w:pPr>
      <w:ind w:left="720"/>
      <w:jc w:val="both"/>
    </w:pPr>
    <w:rPr>
      <w:spacing w:val="0"/>
      <w:sz w:val="24"/>
    </w:rPr>
  </w:style>
  <w:style w:type="paragraph" w:styleId="BodyTextIndent2">
    <w:name w:val="Body Text Indent 2"/>
    <w:basedOn w:val="Normal"/>
    <w:pPr>
      <w:ind w:left="720"/>
    </w:pPr>
    <w:rPr>
      <w:spacing w:val="0"/>
      <w:sz w:val="24"/>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textAlignment w:val="baseline"/>
    </w:pPr>
    <w:rPr>
      <w:spacing w:val="0"/>
      <w:lang w:val="en-US"/>
    </w:rPr>
  </w:style>
  <w:style w:type="paragraph" w:customStyle="1" w:styleId="AppendixTitle">
    <w:name w:val="Appendix Title"/>
    <w:basedOn w:val="BodyText"/>
    <w:next w:val="Heading1"/>
    <w:pPr>
      <w:spacing w:after="120"/>
      <w:jc w:val="right"/>
    </w:pPr>
    <w:rPr>
      <w:rFonts w:eastAsia="Times"/>
      <w:b/>
      <w:color w:val="auto"/>
      <w:sz w:val="22"/>
    </w:rPr>
  </w:style>
  <w:style w:type="character" w:styleId="PageNumber">
    <w:name w:val="page number"/>
    <w:rPr>
      <w:sz w:val="20"/>
    </w:rPr>
  </w:style>
  <w:style w:type="paragraph" w:styleId="Header">
    <w:name w:val="header"/>
    <w:basedOn w:val="Normal"/>
    <w:link w:val="HeaderChar"/>
    <w:uiPriority w:val="99"/>
    <w:pPr>
      <w:tabs>
        <w:tab w:val="center" w:pos="4153"/>
        <w:tab w:val="right" w:pos="8306"/>
      </w:tabs>
      <w:ind w:left="720"/>
      <w:jc w:val="both"/>
    </w:pPr>
    <w:rPr>
      <w:spacing w:val="0"/>
      <w:sz w:val="24"/>
    </w:rPr>
  </w:style>
  <w:style w:type="paragraph" w:styleId="BodyText3">
    <w:name w:val="Body Text 3"/>
    <w:basedOn w:val="Normal"/>
    <w:rPr>
      <w:b/>
      <w:bCs/>
    </w:rPr>
  </w:style>
  <w:style w:type="paragraph" w:styleId="BodyTextIndent3">
    <w:name w:val="Body Text Indent 3"/>
    <w:basedOn w:val="Normal"/>
    <w:pPr>
      <w:ind w:left="720"/>
      <w:jc w:val="both"/>
    </w:pPr>
    <w:rPr>
      <w:rFonts w:cs="Arial"/>
      <w:b/>
      <w:bCs/>
      <w:color w:val="FF0000"/>
      <w:sz w:val="20"/>
    </w:rPr>
  </w:style>
  <w:style w:type="paragraph" w:customStyle="1" w:styleId="Strapline">
    <w:name w:val="Strapline"/>
    <w:next w:val="Heading1"/>
    <w:pPr>
      <w:spacing w:before="120" w:after="240"/>
      <w:jc w:val="center"/>
    </w:pPr>
    <w:rPr>
      <w:rFonts w:ascii="New Century Schlbk" w:hAnsi="New Century Schlbk"/>
      <w:sz w:val="24"/>
      <w:u w:val="single"/>
      <w:lang w:val="en-GB" w:eastAsia="en-US"/>
    </w:rPr>
  </w:style>
  <w:style w:type="character" w:styleId="FootnoteReference">
    <w:name w:val="footnote reference"/>
    <w:semiHidden/>
    <w:rPr>
      <w:vertAlign w:val="superscript"/>
    </w:rPr>
  </w:style>
  <w:style w:type="paragraph" w:styleId="NormalWeb">
    <w:name w:val="Normal (Web)"/>
    <w:basedOn w:val="Normal"/>
    <w:link w:val="NormalWebChar"/>
    <w:pPr>
      <w:spacing w:before="100" w:beforeAutospacing="1" w:after="100" w:afterAutospacing="1"/>
    </w:pPr>
    <w:rPr>
      <w:rFonts w:ascii="Arial Unicode MS" w:eastAsia="Arial Unicode MS" w:hAnsi="Arial Unicode MS"/>
      <w:spacing w:val="0"/>
      <w:sz w:val="24"/>
      <w:szCs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pacing w:val="0"/>
      <w:sz w:val="24"/>
      <w:szCs w:val="24"/>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pacing w:val="0"/>
      <w:sz w:val="24"/>
      <w:szCs w:val="24"/>
    </w:rPr>
  </w:style>
  <w:style w:type="paragraph" w:customStyle="1" w:styleId="xl25">
    <w:name w:val="xl25"/>
    <w:basedOn w:val="Normal"/>
    <w:pPr>
      <w:spacing w:before="100" w:beforeAutospacing="1" w:after="100" w:afterAutospacing="1"/>
      <w:jc w:val="center"/>
    </w:pPr>
    <w:rPr>
      <w:rFonts w:eastAsia="Arial Unicode MS" w:cs="Arial"/>
      <w:b/>
      <w:bCs/>
      <w:spacing w:val="0"/>
      <w:sz w:val="24"/>
      <w:szCs w:val="24"/>
    </w:rPr>
  </w:style>
  <w:style w:type="paragraph" w:customStyle="1" w:styleId="xl26">
    <w:name w:val="xl26"/>
    <w:basedOn w:val="Normal"/>
    <w:pP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pacing w:val="0"/>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pacing w:val="0"/>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pacing w:val="0"/>
      <w:sz w:val="24"/>
      <w:szCs w:val="24"/>
    </w:rPr>
  </w:style>
  <w:style w:type="paragraph" w:customStyle="1" w:styleId="xl33">
    <w:name w:val="xl33"/>
    <w:basedOn w:val="Normal"/>
    <w:pPr>
      <w:pBdr>
        <w:top w:val="single" w:sz="4" w:space="0" w:color="auto"/>
        <w:lef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4">
    <w:name w:val="xl34"/>
    <w:basedOn w:val="Normal"/>
    <w:pPr>
      <w:pBdr>
        <w:top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5">
    <w:name w:val="xl3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6">
    <w:name w:val="xl36"/>
    <w:basedOn w:val="Normal"/>
    <w:pPr>
      <w:pBdr>
        <w:left w:val="single" w:sz="4" w:space="0" w:color="auto"/>
        <w:bottom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7">
    <w:name w:val="xl37"/>
    <w:basedOn w:val="Normal"/>
    <w:pPr>
      <w:pBdr>
        <w:bottom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styleId="Caption">
    <w:name w:val="caption"/>
    <w:basedOn w:val="Normal"/>
    <w:next w:val="Normal"/>
    <w:qFormat/>
    <w:rPr>
      <w:rFonts w:cs="Arial"/>
      <w:spacing w:val="0"/>
      <w:sz w:val="24"/>
      <w:szCs w:val="22"/>
      <w:u w:val="single"/>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NoSpacing">
    <w:name w:val="No Spacing"/>
    <w:link w:val="NoSpacingChar"/>
    <w:uiPriority w:val="1"/>
    <w:qFormat/>
    <w:rsid w:val="00EB2CB0"/>
    <w:rPr>
      <w:rFonts w:ascii="Calibri" w:hAnsi="Calibri"/>
      <w:sz w:val="22"/>
      <w:szCs w:val="22"/>
      <w:lang w:val="en-US" w:eastAsia="en-US"/>
    </w:rPr>
  </w:style>
  <w:style w:type="character" w:customStyle="1" w:styleId="NoSpacingChar">
    <w:name w:val="No Spacing Char"/>
    <w:link w:val="NoSpacing"/>
    <w:uiPriority w:val="1"/>
    <w:rsid w:val="00EB2CB0"/>
    <w:rPr>
      <w:rFonts w:ascii="Calibri" w:hAnsi="Calibri"/>
      <w:sz w:val="22"/>
      <w:szCs w:val="22"/>
      <w:lang w:val="en-US" w:eastAsia="en-US" w:bidi="ar-SA"/>
    </w:rPr>
  </w:style>
  <w:style w:type="table" w:styleId="TableGrid">
    <w:name w:val="Table Grid"/>
    <w:basedOn w:val="TableNormal"/>
    <w:rsid w:val="00DB76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FC08AC"/>
    <w:pPr>
      <w:numPr>
        <w:numId w:val="4"/>
      </w:numPr>
    </w:pPr>
  </w:style>
  <w:style w:type="numbering" w:customStyle="1" w:styleId="Style2">
    <w:name w:val="Style2"/>
    <w:rsid w:val="00E1465C"/>
    <w:pPr>
      <w:numPr>
        <w:numId w:val="5"/>
      </w:numPr>
    </w:pPr>
  </w:style>
  <w:style w:type="numbering" w:customStyle="1" w:styleId="Style3">
    <w:name w:val="Style3"/>
    <w:rsid w:val="00941229"/>
    <w:pPr>
      <w:numPr>
        <w:numId w:val="6"/>
      </w:numPr>
    </w:pPr>
  </w:style>
  <w:style w:type="numbering" w:customStyle="1" w:styleId="Style4">
    <w:name w:val="Style4"/>
    <w:rsid w:val="00941229"/>
    <w:pPr>
      <w:numPr>
        <w:numId w:val="7"/>
      </w:numPr>
    </w:pPr>
  </w:style>
  <w:style w:type="numbering" w:customStyle="1" w:styleId="Style5">
    <w:name w:val="Style5"/>
    <w:rsid w:val="00941229"/>
    <w:pPr>
      <w:numPr>
        <w:numId w:val="8"/>
      </w:numPr>
    </w:pPr>
  </w:style>
  <w:style w:type="numbering" w:customStyle="1" w:styleId="Style6">
    <w:name w:val="Style6"/>
    <w:rsid w:val="004B0EC4"/>
    <w:pPr>
      <w:numPr>
        <w:numId w:val="9"/>
      </w:numPr>
    </w:pPr>
  </w:style>
  <w:style w:type="numbering" w:customStyle="1" w:styleId="Style7">
    <w:name w:val="Style7"/>
    <w:rsid w:val="005F42FA"/>
    <w:pPr>
      <w:numPr>
        <w:numId w:val="10"/>
      </w:numPr>
    </w:pPr>
  </w:style>
  <w:style w:type="paragraph" w:customStyle="1" w:styleId="Body-1">
    <w:name w:val="Body-1"/>
    <w:basedOn w:val="Normal"/>
    <w:uiPriority w:val="99"/>
    <w:rsid w:val="00D241B9"/>
    <w:pPr>
      <w:spacing w:before="120" w:after="60"/>
      <w:ind w:left="425"/>
    </w:pPr>
    <w:rPr>
      <w:rFonts w:ascii="ITCCentury BookCond" w:hAnsi="ITCCentury BookCond"/>
      <w:spacing w:val="0"/>
      <w:lang w:val="en-AU"/>
    </w:rPr>
  </w:style>
  <w:style w:type="numbering" w:customStyle="1" w:styleId="Style8">
    <w:name w:val="Style8"/>
    <w:rsid w:val="00211D49"/>
    <w:pPr>
      <w:numPr>
        <w:numId w:val="11"/>
      </w:numPr>
    </w:pPr>
  </w:style>
  <w:style w:type="numbering" w:customStyle="1" w:styleId="Style9">
    <w:name w:val="Style9"/>
    <w:rsid w:val="00211D49"/>
    <w:pPr>
      <w:numPr>
        <w:numId w:val="12"/>
      </w:numPr>
    </w:pPr>
  </w:style>
  <w:style w:type="character" w:styleId="CommentReference">
    <w:name w:val="annotation reference"/>
    <w:rsid w:val="006A184D"/>
    <w:rPr>
      <w:sz w:val="16"/>
      <w:szCs w:val="16"/>
    </w:rPr>
  </w:style>
  <w:style w:type="paragraph" w:styleId="CommentText">
    <w:name w:val="annotation text"/>
    <w:basedOn w:val="Normal"/>
    <w:link w:val="CommentTextChar"/>
    <w:rsid w:val="006A184D"/>
    <w:rPr>
      <w:rFonts w:ascii="Arial" w:hAnsi="Arial"/>
      <w:sz w:val="20"/>
      <w:lang w:eastAsia="x-none"/>
    </w:rPr>
  </w:style>
  <w:style w:type="character" w:customStyle="1" w:styleId="CommentTextChar">
    <w:name w:val="Comment Text Char"/>
    <w:link w:val="CommentText"/>
    <w:rsid w:val="006A184D"/>
    <w:rPr>
      <w:rFonts w:ascii="Arial" w:hAnsi="Arial"/>
      <w:spacing w:val="6"/>
      <w:lang w:val="en-GB"/>
    </w:rPr>
  </w:style>
  <w:style w:type="paragraph" w:styleId="CommentSubject">
    <w:name w:val="annotation subject"/>
    <w:basedOn w:val="CommentText"/>
    <w:next w:val="CommentText"/>
    <w:link w:val="CommentSubjectChar"/>
    <w:rsid w:val="006A184D"/>
    <w:rPr>
      <w:b/>
      <w:bCs/>
    </w:rPr>
  </w:style>
  <w:style w:type="character" w:customStyle="1" w:styleId="CommentSubjectChar">
    <w:name w:val="Comment Subject Char"/>
    <w:link w:val="CommentSubject"/>
    <w:rsid w:val="006A184D"/>
    <w:rPr>
      <w:rFonts w:ascii="Arial" w:hAnsi="Arial"/>
      <w:b/>
      <w:bCs/>
      <w:spacing w:val="6"/>
      <w:lang w:val="en-GB"/>
    </w:rPr>
  </w:style>
  <w:style w:type="paragraph" w:customStyle="1" w:styleId="LLbodytext">
    <w:name w:val="LL body text"/>
    <w:rsid w:val="00213622"/>
    <w:pPr>
      <w:spacing w:before="120" w:line="260" w:lineRule="exact"/>
    </w:pPr>
    <w:rPr>
      <w:rFonts w:ascii="Arial Narrow" w:hAnsi="Arial Narrow"/>
      <w:sz w:val="22"/>
      <w:szCs w:val="24"/>
      <w:lang w:eastAsia="en-US"/>
    </w:rPr>
  </w:style>
  <w:style w:type="numbering" w:customStyle="1" w:styleId="Style10">
    <w:name w:val="Style10"/>
    <w:rsid w:val="004218BF"/>
    <w:pPr>
      <w:numPr>
        <w:numId w:val="13"/>
      </w:numPr>
    </w:pPr>
  </w:style>
  <w:style w:type="paragraph" w:styleId="TOC5">
    <w:name w:val="toc 5"/>
    <w:basedOn w:val="Normal"/>
    <w:next w:val="Normal"/>
    <w:autoRedefine/>
    <w:uiPriority w:val="39"/>
    <w:unhideWhenUsed/>
    <w:rsid w:val="004218BF"/>
    <w:pPr>
      <w:ind w:left="960"/>
    </w:pPr>
    <w:rPr>
      <w:rFonts w:cs="Calibri"/>
      <w:sz w:val="20"/>
    </w:rPr>
  </w:style>
  <w:style w:type="paragraph" w:styleId="TOC6">
    <w:name w:val="toc 6"/>
    <w:basedOn w:val="Normal"/>
    <w:next w:val="Normal"/>
    <w:autoRedefine/>
    <w:uiPriority w:val="39"/>
    <w:unhideWhenUsed/>
    <w:rsid w:val="004218BF"/>
    <w:pPr>
      <w:ind w:left="1200"/>
    </w:pPr>
    <w:rPr>
      <w:rFonts w:cs="Calibri"/>
      <w:sz w:val="20"/>
    </w:rPr>
  </w:style>
  <w:style w:type="paragraph" w:styleId="TOC7">
    <w:name w:val="toc 7"/>
    <w:basedOn w:val="Normal"/>
    <w:next w:val="Normal"/>
    <w:autoRedefine/>
    <w:uiPriority w:val="39"/>
    <w:unhideWhenUsed/>
    <w:rsid w:val="004218BF"/>
    <w:pPr>
      <w:ind w:left="1440"/>
    </w:pPr>
    <w:rPr>
      <w:rFonts w:cs="Calibri"/>
      <w:sz w:val="20"/>
    </w:rPr>
  </w:style>
  <w:style w:type="paragraph" w:styleId="TOC8">
    <w:name w:val="toc 8"/>
    <w:basedOn w:val="Normal"/>
    <w:next w:val="Normal"/>
    <w:autoRedefine/>
    <w:uiPriority w:val="39"/>
    <w:unhideWhenUsed/>
    <w:rsid w:val="004218BF"/>
    <w:pPr>
      <w:ind w:left="1680"/>
    </w:pPr>
    <w:rPr>
      <w:rFonts w:cs="Calibri"/>
      <w:sz w:val="20"/>
    </w:rPr>
  </w:style>
  <w:style w:type="paragraph" w:styleId="TOC9">
    <w:name w:val="toc 9"/>
    <w:basedOn w:val="Normal"/>
    <w:next w:val="Normal"/>
    <w:autoRedefine/>
    <w:uiPriority w:val="39"/>
    <w:unhideWhenUsed/>
    <w:rsid w:val="004218BF"/>
    <w:pPr>
      <w:ind w:left="1920"/>
    </w:pPr>
    <w:rPr>
      <w:rFonts w:cs="Calibri"/>
      <w:sz w:val="20"/>
    </w:rPr>
  </w:style>
  <w:style w:type="character" w:styleId="Hyperlink">
    <w:name w:val="Hyperlink"/>
    <w:uiPriority w:val="99"/>
    <w:unhideWhenUsed/>
    <w:rsid w:val="004218BF"/>
    <w:rPr>
      <w:color w:val="0000FF"/>
      <w:u w:val="single"/>
    </w:rPr>
  </w:style>
  <w:style w:type="paragraph" w:styleId="DocumentMap">
    <w:name w:val="Document Map"/>
    <w:basedOn w:val="Normal"/>
    <w:semiHidden/>
    <w:rsid w:val="003F288E"/>
    <w:pPr>
      <w:shd w:val="clear" w:color="auto" w:fill="000080"/>
    </w:pPr>
    <w:rPr>
      <w:rFonts w:ascii="Tahoma" w:hAnsi="Tahoma" w:cs="Tahoma"/>
      <w:sz w:val="20"/>
    </w:rPr>
  </w:style>
  <w:style w:type="character" w:styleId="FollowedHyperlink">
    <w:name w:val="FollowedHyperlink"/>
    <w:rsid w:val="007C4ACE"/>
    <w:rPr>
      <w:color w:val="800080"/>
      <w:u w:val="single"/>
    </w:rPr>
  </w:style>
  <w:style w:type="paragraph" w:customStyle="1" w:styleId="Style11">
    <w:name w:val="Style11"/>
    <w:basedOn w:val="Normal"/>
    <w:next w:val="Normal"/>
    <w:link w:val="Style11Char"/>
    <w:rsid w:val="00045C7B"/>
    <w:rPr>
      <w:rFonts w:ascii="Corbel" w:hAnsi="Corbel"/>
      <w:sz w:val="24"/>
    </w:rPr>
  </w:style>
  <w:style w:type="paragraph" w:customStyle="1" w:styleId="Style12">
    <w:name w:val="Style12"/>
    <w:basedOn w:val="TableContents"/>
    <w:rsid w:val="00A71F8E"/>
    <w:pPr>
      <w:jc w:val="both"/>
    </w:pPr>
    <w:rPr>
      <w:rFonts w:ascii="Corbel" w:hAnsi="Corbel" w:cs="Arial"/>
    </w:rPr>
  </w:style>
  <w:style w:type="paragraph" w:customStyle="1" w:styleId="Style13">
    <w:name w:val="Style13"/>
    <w:basedOn w:val="Heading1"/>
    <w:next w:val="Style12"/>
    <w:rsid w:val="00A71F8E"/>
    <w:pPr>
      <w:jc w:val="both"/>
    </w:pPr>
    <w:rPr>
      <w:rFonts w:ascii="Corbel" w:eastAsia="Arial Unicode MS" w:hAnsi="Corbel"/>
      <w:bCs/>
    </w:rPr>
  </w:style>
  <w:style w:type="character" w:customStyle="1" w:styleId="Style11Char">
    <w:name w:val="Style11 Char"/>
    <w:link w:val="Style11"/>
    <w:rsid w:val="00AC4A97"/>
    <w:rPr>
      <w:rFonts w:ascii="Corbel" w:hAnsi="Corbel"/>
      <w:spacing w:val="6"/>
      <w:sz w:val="24"/>
      <w:lang w:val="en-GB" w:eastAsia="en-US" w:bidi="ar-SA"/>
    </w:rPr>
  </w:style>
  <w:style w:type="paragraph" w:customStyle="1" w:styleId="Style14">
    <w:name w:val="Style14"/>
    <w:basedOn w:val="TOC1"/>
    <w:next w:val="Style11"/>
    <w:rsid w:val="006A774B"/>
    <w:pPr>
      <w:tabs>
        <w:tab w:val="left" w:pos="660"/>
        <w:tab w:val="right" w:pos="9380"/>
      </w:tabs>
    </w:pPr>
    <w:rPr>
      <w:rFonts w:ascii="Corbel" w:hAnsi="Corbel"/>
      <w:noProof/>
    </w:rPr>
  </w:style>
  <w:style w:type="paragraph" w:customStyle="1" w:styleId="TOC99">
    <w:name w:val="TOC 99"/>
    <w:basedOn w:val="TOC1"/>
    <w:rsid w:val="006A774B"/>
    <w:pPr>
      <w:tabs>
        <w:tab w:val="left" w:pos="660"/>
        <w:tab w:val="right" w:pos="9380"/>
      </w:tabs>
    </w:pPr>
    <w:rPr>
      <w:rFonts w:ascii="Corbel" w:hAnsi="Corbel"/>
      <w:noProof/>
    </w:rPr>
  </w:style>
  <w:style w:type="character" w:customStyle="1" w:styleId="Heading1Char">
    <w:name w:val="Heading 1 Char"/>
    <w:link w:val="Heading1"/>
    <w:rsid w:val="00C31719"/>
    <w:rPr>
      <w:rFonts w:ascii="Calibri" w:hAnsi="Calibri"/>
      <w:b/>
      <w:spacing w:val="6"/>
      <w:kern w:val="28"/>
      <w:sz w:val="28"/>
      <w:lang w:val="en-GB" w:eastAsia="en-US"/>
    </w:rPr>
  </w:style>
  <w:style w:type="paragraph" w:styleId="Subtitle">
    <w:name w:val="Subtitle"/>
    <w:basedOn w:val="Normal"/>
    <w:next w:val="Normal"/>
    <w:link w:val="SubtitleChar"/>
    <w:uiPriority w:val="11"/>
    <w:qFormat/>
    <w:rsid w:val="00B00740"/>
    <w:pPr>
      <w:numPr>
        <w:ilvl w:val="1"/>
      </w:numPr>
      <w:spacing w:after="200" w:line="276" w:lineRule="auto"/>
    </w:pPr>
    <w:rPr>
      <w:rFonts w:ascii="Cambria" w:hAnsi="Cambria"/>
      <w:i/>
      <w:iCs/>
      <w:color w:val="4F81BD"/>
      <w:spacing w:val="15"/>
      <w:sz w:val="24"/>
      <w:szCs w:val="24"/>
      <w:lang w:val="en-US" w:bidi="en-US"/>
    </w:rPr>
  </w:style>
  <w:style w:type="character" w:customStyle="1" w:styleId="SubtitleChar">
    <w:name w:val="Subtitle Char"/>
    <w:link w:val="Subtitle"/>
    <w:uiPriority w:val="11"/>
    <w:rsid w:val="00B00740"/>
    <w:rPr>
      <w:rFonts w:ascii="Cambria" w:eastAsia="Times New Roman" w:hAnsi="Cambria" w:cs="Times New Roman"/>
      <w:i/>
      <w:iCs/>
      <w:color w:val="4F81BD"/>
      <w:spacing w:val="15"/>
      <w:sz w:val="24"/>
      <w:szCs w:val="24"/>
      <w:lang w:val="en-US" w:eastAsia="en-US" w:bidi="en-US"/>
    </w:rPr>
  </w:style>
  <w:style w:type="character" w:customStyle="1" w:styleId="FooterChar">
    <w:name w:val="Footer Char"/>
    <w:link w:val="Footer"/>
    <w:uiPriority w:val="99"/>
    <w:rsid w:val="00C36A71"/>
    <w:rPr>
      <w:rFonts w:ascii="Arial" w:hAnsi="Arial"/>
      <w:sz w:val="24"/>
      <w:lang w:val="en-GB" w:eastAsia="en-US"/>
    </w:rPr>
  </w:style>
  <w:style w:type="paragraph" w:customStyle="1" w:styleId="Normal2">
    <w:name w:val="Normal 2"/>
    <w:basedOn w:val="Normal"/>
    <w:qFormat/>
    <w:rsid w:val="00520464"/>
    <w:pPr>
      <w:spacing w:before="120" w:after="120"/>
    </w:pPr>
    <w:rPr>
      <w:rFonts w:cs="Calibri"/>
      <w:spacing w:val="0"/>
    </w:rPr>
  </w:style>
  <w:style w:type="paragraph" w:customStyle="1" w:styleId="Bulleted">
    <w:name w:val="Bulleted"/>
    <w:basedOn w:val="Normal2"/>
    <w:qFormat/>
    <w:rsid w:val="00421990"/>
    <w:pPr>
      <w:numPr>
        <w:numId w:val="15"/>
      </w:numPr>
      <w:ind w:left="1418" w:hanging="720"/>
      <w:contextualSpacing/>
    </w:pPr>
  </w:style>
  <w:style w:type="paragraph" w:styleId="TOCHeading">
    <w:name w:val="TOC Heading"/>
    <w:basedOn w:val="Heading1"/>
    <w:next w:val="Normal"/>
    <w:uiPriority w:val="39"/>
    <w:qFormat/>
    <w:rsid w:val="002B6435"/>
    <w:pPr>
      <w:keepLines/>
      <w:numPr>
        <w:numId w:val="0"/>
      </w:numPr>
      <w:spacing w:before="480" w:after="0" w:line="276" w:lineRule="auto"/>
      <w:outlineLvl w:val="9"/>
    </w:pPr>
    <w:rPr>
      <w:rFonts w:ascii="Cambria" w:hAnsi="Cambria"/>
      <w:bCs/>
      <w:caps/>
      <w:color w:val="365F91"/>
      <w:spacing w:val="0"/>
      <w:kern w:val="0"/>
      <w:szCs w:val="28"/>
      <w:lang w:val="en-US"/>
    </w:rPr>
  </w:style>
  <w:style w:type="character" w:customStyle="1" w:styleId="HeaderChar">
    <w:name w:val="Header Char"/>
    <w:link w:val="Header"/>
    <w:uiPriority w:val="99"/>
    <w:rsid w:val="002D0BE4"/>
    <w:rPr>
      <w:rFonts w:ascii="Calibri" w:hAnsi="Calibri"/>
      <w:sz w:val="24"/>
      <w:lang w:val="en-GB" w:eastAsia="en-US"/>
    </w:rPr>
  </w:style>
  <w:style w:type="paragraph" w:customStyle="1" w:styleId="BulletedIndent">
    <w:name w:val="Bulleted Indent"/>
    <w:basedOn w:val="Bulleted"/>
    <w:qFormat/>
    <w:rsid w:val="00520464"/>
    <w:pPr>
      <w:ind w:left="1560" w:hanging="851"/>
    </w:pPr>
  </w:style>
  <w:style w:type="paragraph" w:customStyle="1" w:styleId="ColorfulList-Accent11">
    <w:name w:val="Colorful List - Accent 11"/>
    <w:basedOn w:val="Normal"/>
    <w:qFormat/>
    <w:rsid w:val="00E87262"/>
    <w:pPr>
      <w:spacing w:after="200" w:line="276" w:lineRule="auto"/>
      <w:ind w:left="720"/>
      <w:contextualSpacing/>
    </w:pPr>
    <w:rPr>
      <w:spacing w:val="0"/>
      <w:szCs w:val="22"/>
      <w:lang w:val="en-AU" w:eastAsia="en-AU"/>
    </w:rPr>
  </w:style>
  <w:style w:type="paragraph" w:customStyle="1" w:styleId="Default">
    <w:name w:val="Default"/>
    <w:rsid w:val="00174556"/>
    <w:pPr>
      <w:autoSpaceDE w:val="0"/>
      <w:autoSpaceDN w:val="0"/>
      <w:adjustRightInd w:val="0"/>
    </w:pPr>
    <w:rPr>
      <w:rFonts w:ascii="Zwo Regular LF" w:hAnsi="Zwo Regular LF" w:cs="Zwo Regular LF"/>
      <w:color w:val="000000"/>
      <w:sz w:val="24"/>
      <w:szCs w:val="24"/>
    </w:rPr>
  </w:style>
  <w:style w:type="paragraph" w:customStyle="1" w:styleId="Pa9">
    <w:name w:val="Pa9"/>
    <w:basedOn w:val="Default"/>
    <w:next w:val="Default"/>
    <w:rsid w:val="00174556"/>
    <w:pPr>
      <w:spacing w:line="181" w:lineRule="atLeast"/>
    </w:pPr>
    <w:rPr>
      <w:rFonts w:cs="Times New Roman"/>
      <w:color w:val="auto"/>
    </w:rPr>
  </w:style>
  <w:style w:type="paragraph" w:customStyle="1" w:styleId="Pa16">
    <w:name w:val="Pa16"/>
    <w:basedOn w:val="Default"/>
    <w:next w:val="Default"/>
    <w:rsid w:val="00174556"/>
    <w:pPr>
      <w:spacing w:line="181" w:lineRule="atLeast"/>
    </w:pPr>
    <w:rPr>
      <w:rFonts w:cs="Times New Roman"/>
      <w:color w:val="auto"/>
    </w:rPr>
  </w:style>
  <w:style w:type="paragraph" w:customStyle="1" w:styleId="Pa12">
    <w:name w:val="Pa12"/>
    <w:basedOn w:val="Default"/>
    <w:next w:val="Default"/>
    <w:rsid w:val="00174556"/>
    <w:pPr>
      <w:spacing w:line="181" w:lineRule="atLeast"/>
    </w:pPr>
    <w:rPr>
      <w:rFonts w:cs="Times New Roman"/>
      <w:color w:val="auto"/>
    </w:rPr>
  </w:style>
  <w:style w:type="paragraph" w:customStyle="1" w:styleId="Pa15">
    <w:name w:val="Pa15"/>
    <w:basedOn w:val="Default"/>
    <w:next w:val="Default"/>
    <w:rsid w:val="00174556"/>
    <w:pPr>
      <w:spacing w:line="181" w:lineRule="atLeast"/>
    </w:pPr>
    <w:rPr>
      <w:rFonts w:cs="Times New Roman"/>
      <w:color w:val="auto"/>
    </w:rPr>
  </w:style>
  <w:style w:type="character" w:customStyle="1" w:styleId="Heading3Char">
    <w:name w:val="Heading 3 Char"/>
    <w:link w:val="Heading3"/>
    <w:rsid w:val="006B6949"/>
    <w:rPr>
      <w:rFonts w:ascii="Calibri" w:hAnsi="Calibri"/>
      <w:b/>
      <w:spacing w:val="6"/>
      <w:sz w:val="22"/>
      <w:lang w:val="en-GB" w:eastAsia="en-US"/>
    </w:rPr>
  </w:style>
  <w:style w:type="character" w:customStyle="1" w:styleId="OFPCBody">
    <w:name w:val="OFPC Body"/>
    <w:rsid w:val="003439B2"/>
    <w:rPr>
      <w:rFonts w:ascii="Arial Narrow" w:hAnsi="Arial Narrow"/>
      <w:sz w:val="22"/>
    </w:rPr>
  </w:style>
  <w:style w:type="character" w:customStyle="1" w:styleId="NormalWebChar">
    <w:name w:val="Normal (Web) Char"/>
    <w:link w:val="NormalWeb"/>
    <w:rsid w:val="00CA20A8"/>
    <w:rPr>
      <w:rFonts w:ascii="Arial Unicode MS" w:eastAsia="Arial Unicode MS" w:hAnsi="Arial Unicode MS" w:cs="Arial Unicode MS"/>
      <w:sz w:val="24"/>
      <w:szCs w:val="24"/>
      <w:lang w:val="en-GB" w:eastAsia="en-US"/>
    </w:rPr>
  </w:style>
  <w:style w:type="paragraph" w:styleId="BlockText">
    <w:name w:val="Block Text"/>
    <w:basedOn w:val="Normal"/>
    <w:rsid w:val="00CA20A8"/>
    <w:pPr>
      <w:overflowPunct w:val="0"/>
      <w:autoSpaceDE w:val="0"/>
      <w:autoSpaceDN w:val="0"/>
      <w:adjustRightInd w:val="0"/>
      <w:spacing w:before="180" w:after="60"/>
      <w:ind w:left="2268" w:right="284" w:hanging="2268"/>
      <w:jc w:val="both"/>
      <w:textAlignment w:val="baseline"/>
    </w:pPr>
    <w:rPr>
      <w:rFonts w:ascii="Helvetica" w:hAnsi="Helvetica"/>
      <w:spacing w:val="0"/>
      <w:sz w:val="20"/>
      <w:lang w:val="en-AU"/>
    </w:rPr>
  </w:style>
  <w:style w:type="character" w:customStyle="1" w:styleId="body11">
    <w:name w:val="body11"/>
    <w:rsid w:val="00CA20A8"/>
    <w:rPr>
      <w:b w:val="0"/>
      <w:bCs w:val="0"/>
      <w:i w:val="0"/>
      <w:iCs w:val="0"/>
      <w:color w:val="000000"/>
      <w:sz w:val="24"/>
      <w:szCs w:val="24"/>
    </w:rPr>
  </w:style>
  <w:style w:type="paragraph" w:customStyle="1" w:styleId="introparagraph2">
    <w:name w:val="introparagraph2"/>
    <w:basedOn w:val="Normal"/>
    <w:rsid w:val="00CA20A8"/>
    <w:pPr>
      <w:spacing w:before="100" w:beforeAutospacing="1" w:after="100" w:afterAutospacing="1"/>
    </w:pPr>
    <w:rPr>
      <w:rFonts w:ascii="Times New Roman" w:hAnsi="Times New Roman"/>
      <w:b/>
      <w:bCs/>
      <w:color w:val="C30045"/>
      <w:spacing w:val="0"/>
      <w:sz w:val="20"/>
      <w:lang w:val="en-AU" w:eastAsia="en-AU"/>
    </w:rPr>
  </w:style>
  <w:style w:type="character" w:customStyle="1" w:styleId="Heading2Char">
    <w:name w:val="Heading 2 Char"/>
    <w:link w:val="Heading2"/>
    <w:rsid w:val="0002327D"/>
    <w:rPr>
      <w:rFonts w:ascii="Calibri" w:hAnsi="Calibri"/>
      <w:b/>
      <w:spacing w:val="6"/>
      <w:sz w:val="22"/>
      <w:lang w:val="en-GB" w:eastAsia="en-US"/>
    </w:rPr>
  </w:style>
  <w:style w:type="character" w:customStyle="1" w:styleId="CharChar24">
    <w:name w:val="Char Char24"/>
    <w:rsid w:val="00707B2F"/>
    <w:rPr>
      <w:rFonts w:ascii="Calibri" w:hAnsi="Calibri"/>
      <w:b/>
      <w:spacing w:val="6"/>
      <w:sz w:val="22"/>
      <w:lang w:val="en-GB" w:eastAsia="en-US"/>
    </w:rPr>
  </w:style>
  <w:style w:type="character" w:customStyle="1" w:styleId="CharChar23">
    <w:name w:val="Char Char23"/>
    <w:rsid w:val="004B7E12"/>
    <w:rPr>
      <w:rFonts w:ascii="Calibri" w:hAnsi="Calibri"/>
      <w:b/>
      <w:spacing w:val="6"/>
      <w:sz w:val="22"/>
      <w:lang w:val="en-GB" w:eastAsia="en-US"/>
    </w:rPr>
  </w:style>
  <w:style w:type="character" w:customStyle="1" w:styleId="hgkelc">
    <w:name w:val="hgkelc"/>
    <w:basedOn w:val="DefaultParagraphFont"/>
    <w:rsid w:val="003B0860"/>
  </w:style>
  <w:style w:type="paragraph" w:styleId="Revision">
    <w:name w:val="Revision"/>
    <w:hidden/>
    <w:uiPriority w:val="99"/>
    <w:semiHidden/>
    <w:rsid w:val="00AA6532"/>
    <w:rPr>
      <w:rFonts w:ascii="Calibri" w:hAnsi="Calibri"/>
      <w:spacing w:val="6"/>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1353">
      <w:bodyDiv w:val="1"/>
      <w:marLeft w:val="0"/>
      <w:marRight w:val="0"/>
      <w:marTop w:val="0"/>
      <w:marBottom w:val="0"/>
      <w:divBdr>
        <w:top w:val="none" w:sz="0" w:space="0" w:color="auto"/>
        <w:left w:val="none" w:sz="0" w:space="0" w:color="auto"/>
        <w:bottom w:val="none" w:sz="0" w:space="0" w:color="auto"/>
        <w:right w:val="none" w:sz="0" w:space="0" w:color="auto"/>
      </w:divBdr>
      <w:divsChild>
        <w:div w:id="230390219">
          <w:marLeft w:val="0"/>
          <w:marRight w:val="0"/>
          <w:marTop w:val="300"/>
          <w:marBottom w:val="0"/>
          <w:divBdr>
            <w:top w:val="none" w:sz="0" w:space="0" w:color="auto"/>
            <w:left w:val="none" w:sz="0" w:space="0" w:color="auto"/>
            <w:bottom w:val="none" w:sz="0" w:space="0" w:color="auto"/>
            <w:right w:val="none" w:sz="0" w:space="0" w:color="auto"/>
          </w:divBdr>
          <w:divsChild>
            <w:div w:id="291525668">
              <w:marLeft w:val="0"/>
              <w:marRight w:val="0"/>
              <w:marTop w:val="0"/>
              <w:marBottom w:val="0"/>
              <w:divBdr>
                <w:top w:val="none" w:sz="0" w:space="0" w:color="auto"/>
                <w:left w:val="none" w:sz="0" w:space="0" w:color="auto"/>
                <w:bottom w:val="none" w:sz="0" w:space="0" w:color="auto"/>
                <w:right w:val="none" w:sz="0" w:space="0" w:color="auto"/>
              </w:divBdr>
              <w:divsChild>
                <w:div w:id="1102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263841">
      <w:bodyDiv w:val="1"/>
      <w:marLeft w:val="0"/>
      <w:marRight w:val="0"/>
      <w:marTop w:val="0"/>
      <w:marBottom w:val="0"/>
      <w:divBdr>
        <w:top w:val="none" w:sz="0" w:space="0" w:color="auto"/>
        <w:left w:val="none" w:sz="0" w:space="0" w:color="auto"/>
        <w:bottom w:val="none" w:sz="0" w:space="0" w:color="auto"/>
        <w:right w:val="none" w:sz="0" w:space="0" w:color="auto"/>
      </w:divBdr>
      <w:divsChild>
        <w:div w:id="1867061357">
          <w:marLeft w:val="0"/>
          <w:marRight w:val="0"/>
          <w:marTop w:val="400"/>
          <w:marBottom w:val="0"/>
          <w:divBdr>
            <w:top w:val="none" w:sz="0" w:space="0" w:color="auto"/>
            <w:left w:val="none" w:sz="0" w:space="0" w:color="auto"/>
            <w:bottom w:val="none" w:sz="0" w:space="0" w:color="auto"/>
            <w:right w:val="none" w:sz="0" w:space="0" w:color="auto"/>
          </w:divBdr>
          <w:divsChild>
            <w:div w:id="1122923988">
              <w:marLeft w:val="0"/>
              <w:marRight w:val="0"/>
              <w:marTop w:val="0"/>
              <w:marBottom w:val="0"/>
              <w:divBdr>
                <w:top w:val="none" w:sz="0" w:space="0" w:color="auto"/>
                <w:left w:val="none" w:sz="0" w:space="0" w:color="auto"/>
                <w:bottom w:val="none" w:sz="0" w:space="0" w:color="auto"/>
                <w:right w:val="none" w:sz="0" w:space="0" w:color="auto"/>
              </w:divBdr>
              <w:divsChild>
                <w:div w:id="12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9866">
      <w:bodyDiv w:val="1"/>
      <w:marLeft w:val="0"/>
      <w:marRight w:val="0"/>
      <w:marTop w:val="0"/>
      <w:marBottom w:val="0"/>
      <w:divBdr>
        <w:top w:val="none" w:sz="0" w:space="0" w:color="auto"/>
        <w:left w:val="none" w:sz="0" w:space="0" w:color="auto"/>
        <w:bottom w:val="none" w:sz="0" w:space="0" w:color="auto"/>
        <w:right w:val="none" w:sz="0" w:space="0" w:color="auto"/>
      </w:divBdr>
      <w:divsChild>
        <w:div w:id="609314354">
          <w:marLeft w:val="0"/>
          <w:marRight w:val="0"/>
          <w:marTop w:val="0"/>
          <w:marBottom w:val="0"/>
          <w:divBdr>
            <w:top w:val="none" w:sz="0" w:space="0" w:color="auto"/>
            <w:left w:val="none" w:sz="0" w:space="0" w:color="auto"/>
            <w:bottom w:val="none" w:sz="0" w:space="0" w:color="auto"/>
            <w:right w:val="none" w:sz="0" w:space="0" w:color="auto"/>
          </w:divBdr>
          <w:divsChild>
            <w:div w:id="1009914168">
              <w:marLeft w:val="0"/>
              <w:marRight w:val="0"/>
              <w:marTop w:val="0"/>
              <w:marBottom w:val="0"/>
              <w:divBdr>
                <w:top w:val="none" w:sz="0" w:space="0" w:color="auto"/>
                <w:left w:val="none" w:sz="0" w:space="0" w:color="auto"/>
                <w:bottom w:val="none" w:sz="0" w:space="0" w:color="auto"/>
                <w:right w:val="none" w:sz="0" w:space="0" w:color="auto"/>
              </w:divBdr>
              <w:divsChild>
                <w:div w:id="1783963321">
                  <w:marLeft w:val="0"/>
                  <w:marRight w:val="0"/>
                  <w:marTop w:val="0"/>
                  <w:marBottom w:val="0"/>
                  <w:divBdr>
                    <w:top w:val="none" w:sz="0" w:space="0" w:color="auto"/>
                    <w:left w:val="none" w:sz="0" w:space="0" w:color="auto"/>
                    <w:bottom w:val="none" w:sz="0" w:space="0" w:color="auto"/>
                    <w:right w:val="none" w:sz="0" w:space="0" w:color="auto"/>
                  </w:divBdr>
                  <w:divsChild>
                    <w:div w:id="1515219521">
                      <w:marLeft w:val="0"/>
                      <w:marRight w:val="0"/>
                      <w:marTop w:val="0"/>
                      <w:marBottom w:val="0"/>
                      <w:divBdr>
                        <w:top w:val="none" w:sz="0" w:space="0" w:color="auto"/>
                        <w:left w:val="none" w:sz="0" w:space="0" w:color="auto"/>
                        <w:bottom w:val="none" w:sz="0" w:space="0" w:color="auto"/>
                        <w:right w:val="none" w:sz="0" w:space="0" w:color="auto"/>
                      </w:divBdr>
                      <w:divsChild>
                        <w:div w:id="581450655">
                          <w:marLeft w:val="0"/>
                          <w:marRight w:val="0"/>
                          <w:marTop w:val="0"/>
                          <w:marBottom w:val="0"/>
                          <w:divBdr>
                            <w:top w:val="none" w:sz="0" w:space="0" w:color="auto"/>
                            <w:left w:val="none" w:sz="0" w:space="0" w:color="auto"/>
                            <w:bottom w:val="none" w:sz="0" w:space="0" w:color="auto"/>
                            <w:right w:val="none" w:sz="0" w:space="0" w:color="auto"/>
                          </w:divBdr>
                          <w:divsChild>
                            <w:div w:id="416636652">
                              <w:marLeft w:val="-390"/>
                              <w:marRight w:val="-390"/>
                              <w:marTop w:val="0"/>
                              <w:marBottom w:val="360"/>
                              <w:divBdr>
                                <w:top w:val="none" w:sz="0" w:space="0" w:color="auto"/>
                                <w:left w:val="none" w:sz="0" w:space="0" w:color="auto"/>
                                <w:bottom w:val="single" w:sz="2" w:space="18" w:color="E9EFF3"/>
                                <w:right w:val="none" w:sz="0" w:space="0" w:color="auto"/>
                              </w:divBdr>
                              <w:divsChild>
                                <w:div w:id="141328390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028938">
      <w:bodyDiv w:val="1"/>
      <w:marLeft w:val="0"/>
      <w:marRight w:val="0"/>
      <w:marTop w:val="0"/>
      <w:marBottom w:val="0"/>
      <w:divBdr>
        <w:top w:val="none" w:sz="0" w:space="0" w:color="auto"/>
        <w:left w:val="none" w:sz="0" w:space="0" w:color="auto"/>
        <w:bottom w:val="none" w:sz="0" w:space="0" w:color="auto"/>
        <w:right w:val="none" w:sz="0" w:space="0" w:color="auto"/>
      </w:divBdr>
      <w:divsChild>
        <w:div w:id="258805066">
          <w:marLeft w:val="0"/>
          <w:marRight w:val="0"/>
          <w:marTop w:val="0"/>
          <w:marBottom w:val="0"/>
          <w:divBdr>
            <w:top w:val="none" w:sz="0" w:space="0" w:color="auto"/>
            <w:left w:val="none" w:sz="0" w:space="0" w:color="auto"/>
            <w:bottom w:val="none" w:sz="0" w:space="0" w:color="auto"/>
            <w:right w:val="none" w:sz="0" w:space="0" w:color="auto"/>
          </w:divBdr>
          <w:divsChild>
            <w:div w:id="1072510383">
              <w:marLeft w:val="0"/>
              <w:marRight w:val="0"/>
              <w:marTop w:val="0"/>
              <w:marBottom w:val="0"/>
              <w:divBdr>
                <w:top w:val="none" w:sz="0" w:space="0" w:color="auto"/>
                <w:left w:val="none" w:sz="0" w:space="0" w:color="auto"/>
                <w:bottom w:val="none" w:sz="0" w:space="0" w:color="auto"/>
                <w:right w:val="none" w:sz="0" w:space="0" w:color="auto"/>
              </w:divBdr>
            </w:div>
            <w:div w:id="1500922152">
              <w:marLeft w:val="0"/>
              <w:marRight w:val="0"/>
              <w:marTop w:val="0"/>
              <w:marBottom w:val="0"/>
              <w:divBdr>
                <w:top w:val="none" w:sz="0" w:space="0" w:color="auto"/>
                <w:left w:val="none" w:sz="0" w:space="0" w:color="auto"/>
                <w:bottom w:val="none" w:sz="0" w:space="0" w:color="auto"/>
                <w:right w:val="none" w:sz="0" w:space="0" w:color="auto"/>
              </w:divBdr>
            </w:div>
          </w:divsChild>
        </w:div>
        <w:div w:id="335157604">
          <w:marLeft w:val="0"/>
          <w:marRight w:val="0"/>
          <w:marTop w:val="0"/>
          <w:marBottom w:val="0"/>
          <w:divBdr>
            <w:top w:val="none" w:sz="0" w:space="0" w:color="auto"/>
            <w:left w:val="none" w:sz="0" w:space="0" w:color="auto"/>
            <w:bottom w:val="none" w:sz="0" w:space="0" w:color="auto"/>
            <w:right w:val="none" w:sz="0" w:space="0" w:color="auto"/>
          </w:divBdr>
          <w:divsChild>
            <w:div w:id="1404332273">
              <w:marLeft w:val="0"/>
              <w:marRight w:val="0"/>
              <w:marTop w:val="0"/>
              <w:marBottom w:val="0"/>
              <w:divBdr>
                <w:top w:val="none" w:sz="0" w:space="0" w:color="auto"/>
                <w:left w:val="none" w:sz="0" w:space="0" w:color="auto"/>
                <w:bottom w:val="none" w:sz="0" w:space="0" w:color="auto"/>
                <w:right w:val="none" w:sz="0" w:space="0" w:color="auto"/>
              </w:divBdr>
            </w:div>
            <w:div w:id="1645349420">
              <w:marLeft w:val="0"/>
              <w:marRight w:val="0"/>
              <w:marTop w:val="0"/>
              <w:marBottom w:val="0"/>
              <w:divBdr>
                <w:top w:val="none" w:sz="0" w:space="0" w:color="auto"/>
                <w:left w:val="none" w:sz="0" w:space="0" w:color="auto"/>
                <w:bottom w:val="none" w:sz="0" w:space="0" w:color="auto"/>
                <w:right w:val="none" w:sz="0" w:space="0" w:color="auto"/>
              </w:divBdr>
            </w:div>
          </w:divsChild>
        </w:div>
        <w:div w:id="365450791">
          <w:marLeft w:val="0"/>
          <w:marRight w:val="0"/>
          <w:marTop w:val="0"/>
          <w:marBottom w:val="0"/>
          <w:divBdr>
            <w:top w:val="none" w:sz="0" w:space="0" w:color="auto"/>
            <w:left w:val="none" w:sz="0" w:space="0" w:color="auto"/>
            <w:bottom w:val="none" w:sz="0" w:space="0" w:color="auto"/>
            <w:right w:val="none" w:sz="0" w:space="0" w:color="auto"/>
          </w:divBdr>
          <w:divsChild>
            <w:div w:id="390079107">
              <w:marLeft w:val="0"/>
              <w:marRight w:val="0"/>
              <w:marTop w:val="0"/>
              <w:marBottom w:val="0"/>
              <w:divBdr>
                <w:top w:val="none" w:sz="0" w:space="0" w:color="auto"/>
                <w:left w:val="none" w:sz="0" w:space="0" w:color="auto"/>
                <w:bottom w:val="none" w:sz="0" w:space="0" w:color="auto"/>
                <w:right w:val="none" w:sz="0" w:space="0" w:color="auto"/>
              </w:divBdr>
            </w:div>
            <w:div w:id="1504708129">
              <w:marLeft w:val="0"/>
              <w:marRight w:val="0"/>
              <w:marTop w:val="0"/>
              <w:marBottom w:val="0"/>
              <w:divBdr>
                <w:top w:val="none" w:sz="0" w:space="0" w:color="auto"/>
                <w:left w:val="none" w:sz="0" w:space="0" w:color="auto"/>
                <w:bottom w:val="none" w:sz="0" w:space="0" w:color="auto"/>
                <w:right w:val="none" w:sz="0" w:space="0" w:color="auto"/>
              </w:divBdr>
            </w:div>
          </w:divsChild>
        </w:div>
        <w:div w:id="390618041">
          <w:marLeft w:val="0"/>
          <w:marRight w:val="0"/>
          <w:marTop w:val="0"/>
          <w:marBottom w:val="0"/>
          <w:divBdr>
            <w:top w:val="none" w:sz="0" w:space="0" w:color="auto"/>
            <w:left w:val="none" w:sz="0" w:space="0" w:color="auto"/>
            <w:bottom w:val="none" w:sz="0" w:space="0" w:color="auto"/>
            <w:right w:val="none" w:sz="0" w:space="0" w:color="auto"/>
          </w:divBdr>
          <w:divsChild>
            <w:div w:id="1540317393">
              <w:marLeft w:val="0"/>
              <w:marRight w:val="0"/>
              <w:marTop w:val="0"/>
              <w:marBottom w:val="0"/>
              <w:divBdr>
                <w:top w:val="none" w:sz="0" w:space="0" w:color="auto"/>
                <w:left w:val="none" w:sz="0" w:space="0" w:color="auto"/>
                <w:bottom w:val="none" w:sz="0" w:space="0" w:color="auto"/>
                <w:right w:val="none" w:sz="0" w:space="0" w:color="auto"/>
              </w:divBdr>
            </w:div>
            <w:div w:id="1713117116">
              <w:marLeft w:val="0"/>
              <w:marRight w:val="0"/>
              <w:marTop w:val="0"/>
              <w:marBottom w:val="0"/>
              <w:divBdr>
                <w:top w:val="none" w:sz="0" w:space="0" w:color="auto"/>
                <w:left w:val="none" w:sz="0" w:space="0" w:color="auto"/>
                <w:bottom w:val="none" w:sz="0" w:space="0" w:color="auto"/>
                <w:right w:val="none" w:sz="0" w:space="0" w:color="auto"/>
              </w:divBdr>
            </w:div>
          </w:divsChild>
        </w:div>
        <w:div w:id="449395038">
          <w:marLeft w:val="0"/>
          <w:marRight w:val="0"/>
          <w:marTop w:val="0"/>
          <w:marBottom w:val="0"/>
          <w:divBdr>
            <w:top w:val="none" w:sz="0" w:space="0" w:color="auto"/>
            <w:left w:val="none" w:sz="0" w:space="0" w:color="auto"/>
            <w:bottom w:val="none" w:sz="0" w:space="0" w:color="auto"/>
            <w:right w:val="none" w:sz="0" w:space="0" w:color="auto"/>
          </w:divBdr>
          <w:divsChild>
            <w:div w:id="1221482682">
              <w:marLeft w:val="0"/>
              <w:marRight w:val="0"/>
              <w:marTop w:val="0"/>
              <w:marBottom w:val="0"/>
              <w:divBdr>
                <w:top w:val="none" w:sz="0" w:space="0" w:color="auto"/>
                <w:left w:val="none" w:sz="0" w:space="0" w:color="auto"/>
                <w:bottom w:val="none" w:sz="0" w:space="0" w:color="auto"/>
                <w:right w:val="none" w:sz="0" w:space="0" w:color="auto"/>
              </w:divBdr>
            </w:div>
            <w:div w:id="1776317812">
              <w:marLeft w:val="0"/>
              <w:marRight w:val="0"/>
              <w:marTop w:val="0"/>
              <w:marBottom w:val="0"/>
              <w:divBdr>
                <w:top w:val="none" w:sz="0" w:space="0" w:color="auto"/>
                <w:left w:val="none" w:sz="0" w:space="0" w:color="auto"/>
                <w:bottom w:val="none" w:sz="0" w:space="0" w:color="auto"/>
                <w:right w:val="none" w:sz="0" w:space="0" w:color="auto"/>
              </w:divBdr>
            </w:div>
          </w:divsChild>
        </w:div>
        <w:div w:id="509026225">
          <w:marLeft w:val="0"/>
          <w:marRight w:val="0"/>
          <w:marTop w:val="0"/>
          <w:marBottom w:val="0"/>
          <w:divBdr>
            <w:top w:val="none" w:sz="0" w:space="0" w:color="auto"/>
            <w:left w:val="none" w:sz="0" w:space="0" w:color="auto"/>
            <w:bottom w:val="none" w:sz="0" w:space="0" w:color="auto"/>
            <w:right w:val="none" w:sz="0" w:space="0" w:color="auto"/>
          </w:divBdr>
          <w:divsChild>
            <w:div w:id="1944918075">
              <w:marLeft w:val="0"/>
              <w:marRight w:val="0"/>
              <w:marTop w:val="0"/>
              <w:marBottom w:val="0"/>
              <w:divBdr>
                <w:top w:val="none" w:sz="0" w:space="0" w:color="auto"/>
                <w:left w:val="none" w:sz="0" w:space="0" w:color="auto"/>
                <w:bottom w:val="none" w:sz="0" w:space="0" w:color="auto"/>
                <w:right w:val="none" w:sz="0" w:space="0" w:color="auto"/>
              </w:divBdr>
            </w:div>
          </w:divsChild>
        </w:div>
        <w:div w:id="850414629">
          <w:marLeft w:val="0"/>
          <w:marRight w:val="0"/>
          <w:marTop w:val="0"/>
          <w:marBottom w:val="0"/>
          <w:divBdr>
            <w:top w:val="none" w:sz="0" w:space="0" w:color="auto"/>
            <w:left w:val="none" w:sz="0" w:space="0" w:color="auto"/>
            <w:bottom w:val="none" w:sz="0" w:space="0" w:color="auto"/>
            <w:right w:val="none" w:sz="0" w:space="0" w:color="auto"/>
          </w:divBdr>
          <w:divsChild>
            <w:div w:id="827087704">
              <w:marLeft w:val="0"/>
              <w:marRight w:val="0"/>
              <w:marTop w:val="0"/>
              <w:marBottom w:val="0"/>
              <w:divBdr>
                <w:top w:val="none" w:sz="0" w:space="0" w:color="auto"/>
                <w:left w:val="none" w:sz="0" w:space="0" w:color="auto"/>
                <w:bottom w:val="none" w:sz="0" w:space="0" w:color="auto"/>
                <w:right w:val="none" w:sz="0" w:space="0" w:color="auto"/>
              </w:divBdr>
            </w:div>
            <w:div w:id="1438133753">
              <w:marLeft w:val="0"/>
              <w:marRight w:val="0"/>
              <w:marTop w:val="0"/>
              <w:marBottom w:val="0"/>
              <w:divBdr>
                <w:top w:val="none" w:sz="0" w:space="0" w:color="auto"/>
                <w:left w:val="none" w:sz="0" w:space="0" w:color="auto"/>
                <w:bottom w:val="none" w:sz="0" w:space="0" w:color="auto"/>
                <w:right w:val="none" w:sz="0" w:space="0" w:color="auto"/>
              </w:divBdr>
            </w:div>
          </w:divsChild>
        </w:div>
        <w:div w:id="864944196">
          <w:marLeft w:val="0"/>
          <w:marRight w:val="0"/>
          <w:marTop w:val="0"/>
          <w:marBottom w:val="0"/>
          <w:divBdr>
            <w:top w:val="none" w:sz="0" w:space="0" w:color="auto"/>
            <w:left w:val="none" w:sz="0" w:space="0" w:color="auto"/>
            <w:bottom w:val="none" w:sz="0" w:space="0" w:color="auto"/>
            <w:right w:val="none" w:sz="0" w:space="0" w:color="auto"/>
          </w:divBdr>
          <w:divsChild>
            <w:div w:id="301154753">
              <w:marLeft w:val="0"/>
              <w:marRight w:val="0"/>
              <w:marTop w:val="0"/>
              <w:marBottom w:val="0"/>
              <w:divBdr>
                <w:top w:val="none" w:sz="0" w:space="0" w:color="auto"/>
                <w:left w:val="none" w:sz="0" w:space="0" w:color="auto"/>
                <w:bottom w:val="none" w:sz="0" w:space="0" w:color="auto"/>
                <w:right w:val="none" w:sz="0" w:space="0" w:color="auto"/>
              </w:divBdr>
            </w:div>
            <w:div w:id="1036200700">
              <w:marLeft w:val="0"/>
              <w:marRight w:val="0"/>
              <w:marTop w:val="0"/>
              <w:marBottom w:val="0"/>
              <w:divBdr>
                <w:top w:val="none" w:sz="0" w:space="0" w:color="auto"/>
                <w:left w:val="none" w:sz="0" w:space="0" w:color="auto"/>
                <w:bottom w:val="none" w:sz="0" w:space="0" w:color="auto"/>
                <w:right w:val="none" w:sz="0" w:space="0" w:color="auto"/>
              </w:divBdr>
            </w:div>
          </w:divsChild>
        </w:div>
        <w:div w:id="1148664211">
          <w:marLeft w:val="0"/>
          <w:marRight w:val="0"/>
          <w:marTop w:val="0"/>
          <w:marBottom w:val="0"/>
          <w:divBdr>
            <w:top w:val="none" w:sz="0" w:space="0" w:color="auto"/>
            <w:left w:val="none" w:sz="0" w:space="0" w:color="auto"/>
            <w:bottom w:val="none" w:sz="0" w:space="0" w:color="auto"/>
            <w:right w:val="none" w:sz="0" w:space="0" w:color="auto"/>
          </w:divBdr>
          <w:divsChild>
            <w:div w:id="644822919">
              <w:marLeft w:val="0"/>
              <w:marRight w:val="0"/>
              <w:marTop w:val="0"/>
              <w:marBottom w:val="0"/>
              <w:divBdr>
                <w:top w:val="none" w:sz="0" w:space="0" w:color="auto"/>
                <w:left w:val="none" w:sz="0" w:space="0" w:color="auto"/>
                <w:bottom w:val="none" w:sz="0" w:space="0" w:color="auto"/>
                <w:right w:val="none" w:sz="0" w:space="0" w:color="auto"/>
              </w:divBdr>
            </w:div>
            <w:div w:id="1169252457">
              <w:marLeft w:val="0"/>
              <w:marRight w:val="0"/>
              <w:marTop w:val="0"/>
              <w:marBottom w:val="0"/>
              <w:divBdr>
                <w:top w:val="none" w:sz="0" w:space="0" w:color="auto"/>
                <w:left w:val="none" w:sz="0" w:space="0" w:color="auto"/>
                <w:bottom w:val="none" w:sz="0" w:space="0" w:color="auto"/>
                <w:right w:val="none" w:sz="0" w:space="0" w:color="auto"/>
              </w:divBdr>
            </w:div>
          </w:divsChild>
        </w:div>
        <w:div w:id="1190292068">
          <w:marLeft w:val="0"/>
          <w:marRight w:val="0"/>
          <w:marTop w:val="0"/>
          <w:marBottom w:val="0"/>
          <w:divBdr>
            <w:top w:val="none" w:sz="0" w:space="0" w:color="auto"/>
            <w:left w:val="none" w:sz="0" w:space="0" w:color="auto"/>
            <w:bottom w:val="none" w:sz="0" w:space="0" w:color="auto"/>
            <w:right w:val="none" w:sz="0" w:space="0" w:color="auto"/>
          </w:divBdr>
          <w:divsChild>
            <w:div w:id="1353799768">
              <w:marLeft w:val="0"/>
              <w:marRight w:val="0"/>
              <w:marTop w:val="0"/>
              <w:marBottom w:val="0"/>
              <w:divBdr>
                <w:top w:val="none" w:sz="0" w:space="0" w:color="auto"/>
                <w:left w:val="none" w:sz="0" w:space="0" w:color="auto"/>
                <w:bottom w:val="none" w:sz="0" w:space="0" w:color="auto"/>
                <w:right w:val="none" w:sz="0" w:space="0" w:color="auto"/>
              </w:divBdr>
            </w:div>
            <w:div w:id="1562902870">
              <w:marLeft w:val="0"/>
              <w:marRight w:val="0"/>
              <w:marTop w:val="0"/>
              <w:marBottom w:val="0"/>
              <w:divBdr>
                <w:top w:val="none" w:sz="0" w:space="0" w:color="auto"/>
                <w:left w:val="none" w:sz="0" w:space="0" w:color="auto"/>
                <w:bottom w:val="none" w:sz="0" w:space="0" w:color="auto"/>
                <w:right w:val="none" w:sz="0" w:space="0" w:color="auto"/>
              </w:divBdr>
            </w:div>
          </w:divsChild>
        </w:div>
        <w:div w:id="1503424724">
          <w:marLeft w:val="0"/>
          <w:marRight w:val="0"/>
          <w:marTop w:val="0"/>
          <w:marBottom w:val="0"/>
          <w:divBdr>
            <w:top w:val="none" w:sz="0" w:space="0" w:color="auto"/>
            <w:left w:val="none" w:sz="0" w:space="0" w:color="auto"/>
            <w:bottom w:val="none" w:sz="0" w:space="0" w:color="auto"/>
            <w:right w:val="none" w:sz="0" w:space="0" w:color="auto"/>
          </w:divBdr>
          <w:divsChild>
            <w:div w:id="318509716">
              <w:marLeft w:val="0"/>
              <w:marRight w:val="0"/>
              <w:marTop w:val="0"/>
              <w:marBottom w:val="0"/>
              <w:divBdr>
                <w:top w:val="none" w:sz="0" w:space="0" w:color="auto"/>
                <w:left w:val="none" w:sz="0" w:space="0" w:color="auto"/>
                <w:bottom w:val="none" w:sz="0" w:space="0" w:color="auto"/>
                <w:right w:val="none" w:sz="0" w:space="0" w:color="auto"/>
              </w:divBdr>
            </w:div>
            <w:div w:id="935552079">
              <w:marLeft w:val="0"/>
              <w:marRight w:val="0"/>
              <w:marTop w:val="0"/>
              <w:marBottom w:val="0"/>
              <w:divBdr>
                <w:top w:val="none" w:sz="0" w:space="0" w:color="auto"/>
                <w:left w:val="none" w:sz="0" w:space="0" w:color="auto"/>
                <w:bottom w:val="none" w:sz="0" w:space="0" w:color="auto"/>
                <w:right w:val="none" w:sz="0" w:space="0" w:color="auto"/>
              </w:divBdr>
            </w:div>
          </w:divsChild>
        </w:div>
        <w:div w:id="1510750255">
          <w:marLeft w:val="0"/>
          <w:marRight w:val="0"/>
          <w:marTop w:val="0"/>
          <w:marBottom w:val="0"/>
          <w:divBdr>
            <w:top w:val="none" w:sz="0" w:space="0" w:color="auto"/>
            <w:left w:val="none" w:sz="0" w:space="0" w:color="auto"/>
            <w:bottom w:val="none" w:sz="0" w:space="0" w:color="auto"/>
            <w:right w:val="none" w:sz="0" w:space="0" w:color="auto"/>
          </w:divBdr>
          <w:divsChild>
            <w:div w:id="590503528">
              <w:marLeft w:val="0"/>
              <w:marRight w:val="0"/>
              <w:marTop w:val="0"/>
              <w:marBottom w:val="0"/>
              <w:divBdr>
                <w:top w:val="none" w:sz="0" w:space="0" w:color="auto"/>
                <w:left w:val="none" w:sz="0" w:space="0" w:color="auto"/>
                <w:bottom w:val="none" w:sz="0" w:space="0" w:color="auto"/>
                <w:right w:val="none" w:sz="0" w:space="0" w:color="auto"/>
              </w:divBdr>
            </w:div>
            <w:div w:id="1496342135">
              <w:marLeft w:val="0"/>
              <w:marRight w:val="0"/>
              <w:marTop w:val="0"/>
              <w:marBottom w:val="0"/>
              <w:divBdr>
                <w:top w:val="none" w:sz="0" w:space="0" w:color="auto"/>
                <w:left w:val="none" w:sz="0" w:space="0" w:color="auto"/>
                <w:bottom w:val="none" w:sz="0" w:space="0" w:color="auto"/>
                <w:right w:val="none" w:sz="0" w:space="0" w:color="auto"/>
              </w:divBdr>
            </w:div>
          </w:divsChild>
        </w:div>
        <w:div w:id="1607344537">
          <w:marLeft w:val="0"/>
          <w:marRight w:val="0"/>
          <w:marTop w:val="0"/>
          <w:marBottom w:val="0"/>
          <w:divBdr>
            <w:top w:val="none" w:sz="0" w:space="0" w:color="auto"/>
            <w:left w:val="none" w:sz="0" w:space="0" w:color="auto"/>
            <w:bottom w:val="none" w:sz="0" w:space="0" w:color="auto"/>
            <w:right w:val="none" w:sz="0" w:space="0" w:color="auto"/>
          </w:divBdr>
          <w:divsChild>
            <w:div w:id="782114704">
              <w:marLeft w:val="0"/>
              <w:marRight w:val="0"/>
              <w:marTop w:val="0"/>
              <w:marBottom w:val="0"/>
              <w:divBdr>
                <w:top w:val="none" w:sz="0" w:space="0" w:color="auto"/>
                <w:left w:val="none" w:sz="0" w:space="0" w:color="auto"/>
                <w:bottom w:val="none" w:sz="0" w:space="0" w:color="auto"/>
                <w:right w:val="none" w:sz="0" w:space="0" w:color="auto"/>
              </w:divBdr>
            </w:div>
            <w:div w:id="1790591590">
              <w:marLeft w:val="0"/>
              <w:marRight w:val="0"/>
              <w:marTop w:val="0"/>
              <w:marBottom w:val="0"/>
              <w:divBdr>
                <w:top w:val="none" w:sz="0" w:space="0" w:color="auto"/>
                <w:left w:val="none" w:sz="0" w:space="0" w:color="auto"/>
                <w:bottom w:val="none" w:sz="0" w:space="0" w:color="auto"/>
                <w:right w:val="none" w:sz="0" w:space="0" w:color="auto"/>
              </w:divBdr>
            </w:div>
          </w:divsChild>
        </w:div>
        <w:div w:id="1696729616">
          <w:marLeft w:val="0"/>
          <w:marRight w:val="0"/>
          <w:marTop w:val="0"/>
          <w:marBottom w:val="0"/>
          <w:divBdr>
            <w:top w:val="none" w:sz="0" w:space="0" w:color="auto"/>
            <w:left w:val="none" w:sz="0" w:space="0" w:color="auto"/>
            <w:bottom w:val="none" w:sz="0" w:space="0" w:color="auto"/>
            <w:right w:val="none" w:sz="0" w:space="0" w:color="auto"/>
          </w:divBdr>
          <w:divsChild>
            <w:div w:id="193085006">
              <w:marLeft w:val="0"/>
              <w:marRight w:val="0"/>
              <w:marTop w:val="0"/>
              <w:marBottom w:val="0"/>
              <w:divBdr>
                <w:top w:val="none" w:sz="0" w:space="0" w:color="auto"/>
                <w:left w:val="none" w:sz="0" w:space="0" w:color="auto"/>
                <w:bottom w:val="none" w:sz="0" w:space="0" w:color="auto"/>
                <w:right w:val="none" w:sz="0" w:space="0" w:color="auto"/>
              </w:divBdr>
            </w:div>
            <w:div w:id="1120883804">
              <w:marLeft w:val="0"/>
              <w:marRight w:val="0"/>
              <w:marTop w:val="0"/>
              <w:marBottom w:val="0"/>
              <w:divBdr>
                <w:top w:val="none" w:sz="0" w:space="0" w:color="auto"/>
                <w:left w:val="none" w:sz="0" w:space="0" w:color="auto"/>
                <w:bottom w:val="none" w:sz="0" w:space="0" w:color="auto"/>
                <w:right w:val="none" w:sz="0" w:space="0" w:color="auto"/>
              </w:divBdr>
            </w:div>
          </w:divsChild>
        </w:div>
        <w:div w:id="1965768861">
          <w:marLeft w:val="0"/>
          <w:marRight w:val="0"/>
          <w:marTop w:val="0"/>
          <w:marBottom w:val="0"/>
          <w:divBdr>
            <w:top w:val="none" w:sz="0" w:space="0" w:color="auto"/>
            <w:left w:val="none" w:sz="0" w:space="0" w:color="auto"/>
            <w:bottom w:val="none" w:sz="0" w:space="0" w:color="auto"/>
            <w:right w:val="none" w:sz="0" w:space="0" w:color="auto"/>
          </w:divBdr>
          <w:divsChild>
            <w:div w:id="379667544">
              <w:marLeft w:val="0"/>
              <w:marRight w:val="0"/>
              <w:marTop w:val="0"/>
              <w:marBottom w:val="0"/>
              <w:divBdr>
                <w:top w:val="none" w:sz="0" w:space="0" w:color="auto"/>
                <w:left w:val="none" w:sz="0" w:space="0" w:color="auto"/>
                <w:bottom w:val="none" w:sz="0" w:space="0" w:color="auto"/>
                <w:right w:val="none" w:sz="0" w:space="0" w:color="auto"/>
              </w:divBdr>
            </w:div>
            <w:div w:id="5170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3807">
      <w:bodyDiv w:val="1"/>
      <w:marLeft w:val="0"/>
      <w:marRight w:val="0"/>
      <w:marTop w:val="0"/>
      <w:marBottom w:val="0"/>
      <w:divBdr>
        <w:top w:val="none" w:sz="0" w:space="0" w:color="auto"/>
        <w:left w:val="none" w:sz="0" w:space="0" w:color="auto"/>
        <w:bottom w:val="none" w:sz="0" w:space="0" w:color="auto"/>
        <w:right w:val="none" w:sz="0" w:space="0" w:color="auto"/>
      </w:divBdr>
      <w:divsChild>
        <w:div w:id="1451238602">
          <w:marLeft w:val="0"/>
          <w:marRight w:val="0"/>
          <w:marTop w:val="0"/>
          <w:marBottom w:val="0"/>
          <w:divBdr>
            <w:top w:val="none" w:sz="0" w:space="0" w:color="auto"/>
            <w:left w:val="none" w:sz="0" w:space="0" w:color="auto"/>
            <w:bottom w:val="none" w:sz="0" w:space="0" w:color="auto"/>
            <w:right w:val="none" w:sz="0" w:space="0" w:color="auto"/>
          </w:divBdr>
          <w:divsChild>
            <w:div w:id="299657552">
              <w:marLeft w:val="0"/>
              <w:marRight w:val="0"/>
              <w:marTop w:val="0"/>
              <w:marBottom w:val="0"/>
              <w:divBdr>
                <w:top w:val="none" w:sz="0" w:space="0" w:color="auto"/>
                <w:left w:val="none" w:sz="0" w:space="0" w:color="auto"/>
                <w:bottom w:val="none" w:sz="0" w:space="0" w:color="auto"/>
                <w:right w:val="none" w:sz="0" w:space="0" w:color="auto"/>
              </w:divBdr>
              <w:divsChild>
                <w:div w:id="1720744325">
                  <w:marLeft w:val="0"/>
                  <w:marRight w:val="0"/>
                  <w:marTop w:val="0"/>
                  <w:marBottom w:val="0"/>
                  <w:divBdr>
                    <w:top w:val="none" w:sz="0" w:space="0" w:color="auto"/>
                    <w:left w:val="none" w:sz="0" w:space="0" w:color="auto"/>
                    <w:bottom w:val="none" w:sz="0" w:space="0" w:color="auto"/>
                    <w:right w:val="none" w:sz="0" w:space="0" w:color="auto"/>
                  </w:divBdr>
                  <w:divsChild>
                    <w:div w:id="2143617390">
                      <w:marLeft w:val="0"/>
                      <w:marRight w:val="0"/>
                      <w:marTop w:val="0"/>
                      <w:marBottom w:val="0"/>
                      <w:divBdr>
                        <w:top w:val="none" w:sz="0" w:space="0" w:color="auto"/>
                        <w:left w:val="none" w:sz="0" w:space="0" w:color="auto"/>
                        <w:bottom w:val="none" w:sz="0" w:space="0" w:color="auto"/>
                        <w:right w:val="none" w:sz="0" w:space="0" w:color="auto"/>
                      </w:divBdr>
                      <w:divsChild>
                        <w:div w:id="1114599322">
                          <w:marLeft w:val="0"/>
                          <w:marRight w:val="0"/>
                          <w:marTop w:val="0"/>
                          <w:marBottom w:val="0"/>
                          <w:divBdr>
                            <w:top w:val="none" w:sz="0" w:space="0" w:color="auto"/>
                            <w:left w:val="none" w:sz="0" w:space="0" w:color="auto"/>
                            <w:bottom w:val="none" w:sz="0" w:space="0" w:color="auto"/>
                            <w:right w:val="none" w:sz="0" w:space="0" w:color="auto"/>
                          </w:divBdr>
                          <w:divsChild>
                            <w:div w:id="555819252">
                              <w:marLeft w:val="-390"/>
                              <w:marRight w:val="-390"/>
                              <w:marTop w:val="0"/>
                              <w:marBottom w:val="360"/>
                              <w:divBdr>
                                <w:top w:val="none" w:sz="0" w:space="0" w:color="auto"/>
                                <w:left w:val="none" w:sz="0" w:space="0" w:color="auto"/>
                                <w:bottom w:val="single" w:sz="2" w:space="18" w:color="E9EFF3"/>
                                <w:right w:val="none" w:sz="0" w:space="0" w:color="auto"/>
                              </w:divBdr>
                              <w:divsChild>
                                <w:div w:id="190213278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viders.dhhs.vic.gov.au/rent-setting-and-rebate-operational-guidelin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C1E93270748499DB197B439E53E4D" ma:contentTypeVersion="12" ma:contentTypeDescription="Create a new document." ma:contentTypeScope="" ma:versionID="701093433a13efadbb34d3041506a798">
  <xsd:schema xmlns:xsd="http://www.w3.org/2001/XMLSchema" xmlns:xs="http://www.w3.org/2001/XMLSchema" xmlns:p="http://schemas.microsoft.com/office/2006/metadata/properties" xmlns:ns2="cd0c9a8f-f6b4-4a3b-94df-3c17659d98a3" xmlns:ns3="a96395f8-9886-4737-b97b-2b0ae1b8c9ba" targetNamespace="http://schemas.microsoft.com/office/2006/metadata/properties" ma:root="true" ma:fieldsID="53db0aaab163605df24c0a221e18ab09" ns2:_="" ns3:_="">
    <xsd:import namespace="cd0c9a8f-f6b4-4a3b-94df-3c17659d98a3"/>
    <xsd:import namespace="a96395f8-9886-4737-b97b-2b0ae1b8c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c9a8f-f6b4-4a3b-94df-3c17659d9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8de68c-6f9b-4901-8717-6af19e49e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395f8-9886-4737-b97b-2b0ae1b8c9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eeb741-2ff2-44a6-b775-953322ebc85d}" ma:internalName="TaxCatchAll" ma:showField="CatchAllData" ma:web="a96395f8-9886-4737-b97b-2b0ae1b8c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6395f8-9886-4737-b97b-2b0ae1b8c9ba" xsi:nil="true"/>
    <lcf76f155ced4ddcb4097134ff3c332f xmlns="cd0c9a8f-f6b4-4a3b-94df-3c17659d98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4360F-54D5-4BD1-96F4-B32F4B00ECFA}"/>
</file>

<file path=customXml/itemProps2.xml><?xml version="1.0" encoding="utf-8"?>
<ds:datastoreItem xmlns:ds="http://schemas.openxmlformats.org/officeDocument/2006/customXml" ds:itemID="{550459BA-9A40-4098-A094-E92B082A5CBB}">
  <ds:schemaRefs>
    <ds:schemaRef ds:uri="http://schemas.microsoft.com/office/2006/metadata/properties"/>
    <ds:schemaRef ds:uri="http://schemas.microsoft.com/office/infopath/2007/PartnerControls"/>
    <ds:schemaRef ds:uri="2bae5ca5-a411-4c5c-a5c4-20de72600638"/>
    <ds:schemaRef ds:uri="e68ba9a3-e65a-4a53-aa88-e1de1f2da85a"/>
  </ds:schemaRefs>
</ds:datastoreItem>
</file>

<file path=customXml/itemProps3.xml><?xml version="1.0" encoding="utf-8"?>
<ds:datastoreItem xmlns:ds="http://schemas.openxmlformats.org/officeDocument/2006/customXml" ds:itemID="{C99D7B23-C992-4C92-AED6-260B62E07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2450</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Child Safety Policy</vt:lpstr>
    </vt:vector>
  </TitlesOfParts>
  <Company>Toshiba</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Policy</dc:title>
  <dc:subject/>
  <dc:creator>Kayla Ta</dc:creator>
  <cp:keywords/>
  <dc:description/>
  <cp:lastModifiedBy>Laura Tucker</cp:lastModifiedBy>
  <cp:revision>33</cp:revision>
  <cp:lastPrinted>2016-05-10T07:06:00Z</cp:lastPrinted>
  <dcterms:created xsi:type="dcterms:W3CDTF">2024-06-04T02:41:00Z</dcterms:created>
  <dcterms:modified xsi:type="dcterms:W3CDTF">2025-08-18T23:00:00Z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0000000038A1BB1005E5101AA1BB08002B2A56C200006D737073742E646C6C00000000004E495441F9BFB80100AA0037D96E0000000043003A005C00550073006500720073005C006B006100720065006E005C0041007000700044006100740061005C004C006F00630061006C005C004D006900630072006F0073006F00660</vt:lpwstr>
  </property>
  <property fmtid="{D5CDD505-2E9C-101B-9397-08002B2CF9AE}" pid="4" name="_EmailStoreID1">
    <vt:lpwstr>074005C004F00750074006C006F006F006B005C004F00750074006C006F006F006B002E007000730074000000</vt:lpwstr>
  </property>
  <property fmtid="{D5CDD505-2E9C-101B-9397-08002B2CF9AE}" pid="5" name="MediaServiceImageTags">
    <vt:lpwstr/>
  </property>
  <property fmtid="{D5CDD505-2E9C-101B-9397-08002B2CF9AE}" pid="6" name="ContentTypeId">
    <vt:lpwstr>0x010100421C1E93270748499DB197B439E53E4D</vt:lpwstr>
  </property>
  <property fmtid="{D5CDD505-2E9C-101B-9397-08002B2CF9AE}" pid="7" name="MSIP_Label_0af6f0ca-ef67-45cd-b564-47d53e6b99ae_Enabled">
    <vt:lpwstr>true</vt:lpwstr>
  </property>
  <property fmtid="{D5CDD505-2E9C-101B-9397-08002B2CF9AE}" pid="8" name="MSIP_Label_0af6f0ca-ef67-45cd-b564-47d53e6b99ae_SetDate">
    <vt:lpwstr>2025-04-22T06:16:40Z</vt:lpwstr>
  </property>
  <property fmtid="{D5CDD505-2E9C-101B-9397-08002B2CF9AE}" pid="9" name="MSIP_Label_0af6f0ca-ef67-45cd-b564-47d53e6b99ae_Method">
    <vt:lpwstr>Standard</vt:lpwstr>
  </property>
  <property fmtid="{D5CDD505-2E9C-101B-9397-08002B2CF9AE}" pid="10" name="MSIP_Label_0af6f0ca-ef67-45cd-b564-47d53e6b99ae_Name">
    <vt:lpwstr>defa4170-0d19-0005-0004-bc88714345d2</vt:lpwstr>
  </property>
  <property fmtid="{D5CDD505-2E9C-101B-9397-08002B2CF9AE}" pid="11" name="MSIP_Label_0af6f0ca-ef67-45cd-b564-47d53e6b99ae_SiteId">
    <vt:lpwstr>be927898-fb2a-4dff-8479-16b44696e0b9</vt:lpwstr>
  </property>
  <property fmtid="{D5CDD505-2E9C-101B-9397-08002B2CF9AE}" pid="12" name="MSIP_Label_0af6f0ca-ef67-45cd-b564-47d53e6b99ae_ActionId">
    <vt:lpwstr>98a146f0-4f9a-4cfa-b557-221375047bbe</vt:lpwstr>
  </property>
  <property fmtid="{D5CDD505-2E9C-101B-9397-08002B2CF9AE}" pid="13" name="MSIP_Label_0af6f0ca-ef67-45cd-b564-47d53e6b99ae_ContentBits">
    <vt:lpwstr>0</vt:lpwstr>
  </property>
  <property fmtid="{D5CDD505-2E9C-101B-9397-08002B2CF9AE}" pid="14" name="MSIP_Label_0af6f0ca-ef67-45cd-b564-47d53e6b99ae_Tag">
    <vt:lpwstr>10, 3, 0, 1</vt:lpwstr>
  </property>
</Properties>
</file>